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D9" w:rsidRPr="000105D9" w:rsidRDefault="000105D9" w:rsidP="000105D9">
      <w:pPr>
        <w:pStyle w:val="Titre"/>
        <w:rPr>
          <w:sz w:val="36"/>
          <w:lang w:val="fr-BE"/>
        </w:rPr>
      </w:pPr>
      <w:r w:rsidRPr="000105D9">
        <w:rPr>
          <w:sz w:val="36"/>
          <w:lang w:val="fr-BE"/>
        </w:rPr>
        <w:t>Obligation de réalisation d’une étude de cogénération ou de réseau de chaleur pour les installations neuves ou subissant une rénovation substantielle de plus de 20 MW thermiques.</w:t>
      </w:r>
    </w:p>
    <w:p w:rsidR="000D5237" w:rsidRDefault="00073C5B" w:rsidP="00073C5B">
      <w:pPr>
        <w:pStyle w:val="Titre1"/>
        <w:rPr>
          <w:lang w:val="fr-BE"/>
        </w:rPr>
      </w:pPr>
      <w:r>
        <w:rPr>
          <w:lang w:val="fr-BE"/>
        </w:rPr>
        <w:t>Guid</w:t>
      </w:r>
      <w:r w:rsidR="00E504CA">
        <w:rPr>
          <w:lang w:val="fr-BE"/>
        </w:rPr>
        <w:t>ance</w:t>
      </w:r>
      <w:r>
        <w:rPr>
          <w:lang w:val="fr-BE"/>
        </w:rPr>
        <w:t xml:space="preserve"> – Analyse Coût –bénéfice individuelle </w:t>
      </w:r>
    </w:p>
    <w:p w:rsidR="00742577" w:rsidRDefault="00742577" w:rsidP="00742577">
      <w:pPr>
        <w:rPr>
          <w:lang w:val="fr-BE"/>
        </w:rPr>
      </w:pPr>
    </w:p>
    <w:p w:rsidR="00212E77" w:rsidRDefault="00212E77" w:rsidP="00E504CA">
      <w:pPr>
        <w:pStyle w:val="Titre2"/>
        <w:numPr>
          <w:ilvl w:val="0"/>
          <w:numId w:val="4"/>
        </w:numPr>
        <w:rPr>
          <w:lang w:val="fr-BE"/>
        </w:rPr>
      </w:pPr>
      <w:r>
        <w:rPr>
          <w:lang w:val="fr-BE"/>
        </w:rPr>
        <w:t>Introduction</w:t>
      </w:r>
    </w:p>
    <w:p w:rsidR="00212E77" w:rsidRDefault="00212E77" w:rsidP="00742577">
      <w:pPr>
        <w:rPr>
          <w:lang w:val="fr-BE"/>
        </w:rPr>
      </w:pPr>
    </w:p>
    <w:p w:rsidR="00742577" w:rsidRPr="00742577" w:rsidRDefault="00742577" w:rsidP="00742577">
      <w:pPr>
        <w:rPr>
          <w:lang w:val="fr-BE"/>
        </w:rPr>
      </w:pPr>
      <w:r>
        <w:rPr>
          <w:lang w:val="fr-BE"/>
        </w:rPr>
        <w:t xml:space="preserve">Ce document a pour vocation de servir d’outil d’aide à la réalisation d’une analyse coût bénéfice individuelle, en application de l’article 14 de la directive européenne </w:t>
      </w:r>
      <w:r w:rsidR="00212E77">
        <w:rPr>
          <w:lang w:val="fr-BE"/>
        </w:rPr>
        <w:t xml:space="preserve">2012.27 </w:t>
      </w:r>
      <w:r w:rsidR="00A377CC">
        <w:rPr>
          <w:lang w:val="fr-BE"/>
        </w:rPr>
        <w:t>relative</w:t>
      </w:r>
      <w:r w:rsidR="00212E77">
        <w:rPr>
          <w:lang w:val="fr-BE"/>
        </w:rPr>
        <w:t xml:space="preserve"> à l’</w:t>
      </w:r>
      <w:r>
        <w:rPr>
          <w:lang w:val="fr-BE"/>
        </w:rPr>
        <w:t>Efficacité</w:t>
      </w:r>
      <w:r w:rsidR="00212E77">
        <w:rPr>
          <w:lang w:val="fr-BE"/>
        </w:rPr>
        <w:t xml:space="preserve"> énergétique, </w:t>
      </w:r>
      <w:r>
        <w:rPr>
          <w:lang w:val="fr-BE"/>
        </w:rPr>
        <w:t>transposée dans</w:t>
      </w:r>
      <w:r w:rsidR="00407B2F">
        <w:rPr>
          <w:lang w:val="fr-BE"/>
        </w:rPr>
        <w:t xml:space="preserve"> les articles 2 et 30 et à l’annexe </w:t>
      </w:r>
      <w:r w:rsidR="00407B2F" w:rsidRPr="00407B2F">
        <w:rPr>
          <w:lang w:val="fr-BE"/>
        </w:rPr>
        <w:t xml:space="preserve">XXXII </w:t>
      </w:r>
      <w:r w:rsidR="00407B2F">
        <w:rPr>
          <w:lang w:val="fr-BE"/>
        </w:rPr>
        <w:t>de l’a</w:t>
      </w:r>
      <w:r w:rsidR="00407B2F" w:rsidRPr="00407B2F">
        <w:rPr>
          <w:lang w:val="fr-BE"/>
        </w:rPr>
        <w:t>rrêté du Gouvernement wallon du 4 juillet 2002 relatif à la procédure et à diverses mesures d’exécution du décret du 11 mars 1999 relatif au permis d’environnement</w:t>
      </w:r>
      <w:r w:rsidR="00407B2F">
        <w:rPr>
          <w:lang w:val="fr-BE"/>
        </w:rPr>
        <w:t xml:space="preserve"> insérés par l’a</w:t>
      </w:r>
      <w:r w:rsidR="00407B2F" w:rsidRPr="00407B2F">
        <w:rPr>
          <w:lang w:val="fr-BE"/>
        </w:rPr>
        <w:t xml:space="preserve">rrêté du Gouvernement wallon du 19 juin 2014 modifiant l’arrêté du Gouvernement wallon du 4 juillet 2002 relatif à la procédure et à diverses mesures d’exécution du décret du 11 mars 1999 relatif au permis d’environnement et y insérant l’annexe </w:t>
      </w:r>
      <w:r w:rsidR="000B4670">
        <w:rPr>
          <w:lang w:val="fr-BE"/>
        </w:rPr>
        <w:t>XXXII.</w:t>
      </w:r>
    </w:p>
    <w:p w:rsidR="00073C5B" w:rsidRDefault="00742577">
      <w:pPr>
        <w:rPr>
          <w:lang w:val="fr-BE"/>
        </w:rPr>
      </w:pPr>
      <w:r>
        <w:rPr>
          <w:lang w:val="fr-BE"/>
        </w:rPr>
        <w:t xml:space="preserve">L’application des canevas proposés n’est pas obligatoire. </w:t>
      </w:r>
    </w:p>
    <w:p w:rsidR="00742577" w:rsidRDefault="00742577">
      <w:pPr>
        <w:rPr>
          <w:lang w:val="fr-BE"/>
        </w:rPr>
      </w:pPr>
      <w:r>
        <w:rPr>
          <w:lang w:val="fr-BE"/>
        </w:rPr>
        <w:t xml:space="preserve">Il est cependant obligatoire de réaliser cette analyse, </w:t>
      </w:r>
      <w:r w:rsidR="00212E77">
        <w:rPr>
          <w:lang w:val="fr-BE"/>
        </w:rPr>
        <w:t xml:space="preserve">en application des </w:t>
      </w:r>
      <w:r>
        <w:rPr>
          <w:lang w:val="fr-BE"/>
        </w:rPr>
        <w:t>principes de VAN et TRI</w:t>
      </w:r>
      <w:r>
        <w:rPr>
          <w:rStyle w:val="Appelnotedebasdep"/>
          <w:lang w:val="fr-BE"/>
        </w:rPr>
        <w:footnoteReference w:id="1"/>
      </w:r>
      <w:r>
        <w:rPr>
          <w:lang w:val="fr-BE"/>
        </w:rPr>
        <w:t xml:space="preserve">. </w:t>
      </w:r>
    </w:p>
    <w:p w:rsidR="00842E18" w:rsidRPr="00842E18" w:rsidRDefault="00842E18" w:rsidP="00842E18">
      <w:pPr>
        <w:autoSpaceDE w:val="0"/>
        <w:autoSpaceDN w:val="0"/>
        <w:adjustRightInd w:val="0"/>
        <w:spacing w:after="0" w:line="240" w:lineRule="auto"/>
        <w:rPr>
          <w:lang w:val="fr-BE"/>
        </w:rPr>
      </w:pPr>
      <w:r w:rsidRPr="00842E18">
        <w:rPr>
          <w:lang w:val="fr-BE"/>
        </w:rPr>
        <w:t xml:space="preserve">L’analyse coût-avantage consistera à comparer deux scénarii  (le projet initial et l’installation de référence de la directive-art14.5), au moyen d’une  analyse financière basée sur les concepts de VAN et TRI du projet présenté à permis d’environnement. L’analyse comprendra une  description de l’installation prévue d’une part et de celle considérée pour la comparaison.  La description mentionnera notamment les capacités électriques et thermiques, le type de combustibles, l’utilisation prévue, le nombre d’heures d’exploitation prévu, la localisation, la demande en électricité et chaleur (en ce compris la demande des points voisins envisagés). La distance maximum à considérer pour les demandes en électricité et chaleur sera définie en fonction de la satisfaction d’une demande économiquement justifiée. </w:t>
      </w:r>
    </w:p>
    <w:p w:rsidR="00842E18" w:rsidRDefault="00842E18">
      <w:pPr>
        <w:rPr>
          <w:lang w:val="fr-BE"/>
        </w:rPr>
      </w:pPr>
    </w:p>
    <w:p w:rsidR="00C07E17" w:rsidRDefault="00C07E17" w:rsidP="00E504CA">
      <w:pPr>
        <w:pStyle w:val="Titre2"/>
        <w:numPr>
          <w:ilvl w:val="0"/>
          <w:numId w:val="4"/>
        </w:numPr>
        <w:rPr>
          <w:lang w:val="fr-BE"/>
        </w:rPr>
      </w:pPr>
      <w:r>
        <w:rPr>
          <w:lang w:val="fr-BE"/>
        </w:rPr>
        <w:t>Installations concernées</w:t>
      </w:r>
    </w:p>
    <w:p w:rsidR="00261A52" w:rsidRDefault="00261A52">
      <w:pPr>
        <w:rPr>
          <w:lang w:val="fr-BE"/>
        </w:rPr>
      </w:pPr>
      <w:r>
        <w:rPr>
          <w:lang w:val="fr-BE"/>
        </w:rPr>
        <w:t>Les installations de référence doivent être comparées aux installations suivantes :</w:t>
      </w:r>
    </w:p>
    <w:tbl>
      <w:tblPr>
        <w:tblStyle w:val="Grilledutableau"/>
        <w:tblW w:w="0" w:type="auto"/>
        <w:tblLook w:val="04A0"/>
      </w:tblPr>
      <w:tblGrid>
        <w:gridCol w:w="4644"/>
        <w:gridCol w:w="4536"/>
      </w:tblGrid>
      <w:tr w:rsidR="00261A52" w:rsidRPr="00261A52" w:rsidTr="00997E0D">
        <w:tc>
          <w:tcPr>
            <w:tcW w:w="4644" w:type="dxa"/>
          </w:tcPr>
          <w:p w:rsidR="00261A52" w:rsidRPr="00261A52" w:rsidRDefault="00261A52" w:rsidP="00842E18">
            <w:pPr>
              <w:rPr>
                <w:b/>
                <w:lang w:val="fr-BE"/>
              </w:rPr>
            </w:pPr>
            <w:r w:rsidRPr="00261A52">
              <w:rPr>
                <w:b/>
                <w:lang w:val="fr-BE"/>
              </w:rPr>
              <w:t xml:space="preserve">Installation </w:t>
            </w:r>
            <w:r w:rsidR="00842E18">
              <w:rPr>
                <w:b/>
                <w:lang w:val="fr-BE"/>
              </w:rPr>
              <w:t>initiale</w:t>
            </w:r>
          </w:p>
        </w:tc>
        <w:tc>
          <w:tcPr>
            <w:tcW w:w="4536" w:type="dxa"/>
          </w:tcPr>
          <w:p w:rsidR="00261A52" w:rsidRPr="00261A52" w:rsidRDefault="00261A52" w:rsidP="00997E0D">
            <w:pPr>
              <w:rPr>
                <w:b/>
                <w:lang w:val="fr-BE"/>
              </w:rPr>
            </w:pPr>
            <w:r w:rsidRPr="00261A52">
              <w:rPr>
                <w:b/>
                <w:lang w:val="fr-BE"/>
              </w:rPr>
              <w:t>Installation à comparer</w:t>
            </w:r>
          </w:p>
        </w:tc>
      </w:tr>
      <w:tr w:rsidR="00261A52" w:rsidRPr="000105D9" w:rsidTr="00997E0D">
        <w:tc>
          <w:tcPr>
            <w:tcW w:w="4644" w:type="dxa"/>
          </w:tcPr>
          <w:p w:rsidR="00261A52" w:rsidRPr="00261A52" w:rsidRDefault="00261A52" w:rsidP="00997E0D">
            <w:pPr>
              <w:rPr>
                <w:lang w:val="fr-BE"/>
              </w:rPr>
            </w:pPr>
            <w:r w:rsidRPr="00261A52">
              <w:rPr>
                <w:lang w:val="fr-BE"/>
              </w:rPr>
              <w:t>Installations projetées soumises à demande de permis d’ENV</w:t>
            </w:r>
          </w:p>
        </w:tc>
        <w:tc>
          <w:tcPr>
            <w:tcW w:w="4536" w:type="dxa"/>
          </w:tcPr>
          <w:p w:rsidR="00261A52" w:rsidRPr="00261A52" w:rsidRDefault="00261A52" w:rsidP="00997E0D">
            <w:pPr>
              <w:rPr>
                <w:lang w:val="fr-BE"/>
              </w:rPr>
            </w:pPr>
            <w:r w:rsidRPr="00261A52">
              <w:rPr>
                <w:lang w:val="fr-BE"/>
              </w:rPr>
              <w:t>Installations de référence mettant en œuvre une BAT qui serviront de base pour la comparaison</w:t>
            </w:r>
          </w:p>
        </w:tc>
      </w:tr>
      <w:tr w:rsidR="00261A52" w:rsidRPr="000105D9" w:rsidTr="00997E0D">
        <w:tc>
          <w:tcPr>
            <w:tcW w:w="4644" w:type="dxa"/>
          </w:tcPr>
          <w:p w:rsidR="00261A52" w:rsidRPr="00261A52" w:rsidRDefault="00261A52" w:rsidP="00997E0D">
            <w:pPr>
              <w:rPr>
                <w:lang w:val="fr-BE"/>
              </w:rPr>
            </w:pPr>
            <w:r w:rsidRPr="00261A52">
              <w:rPr>
                <w:lang w:val="fr-BE"/>
              </w:rPr>
              <w:t xml:space="preserve">Une nouvelle </w:t>
            </w:r>
            <w:r w:rsidRPr="00261A52">
              <w:rPr>
                <w:color w:val="FF0000"/>
                <w:lang w:val="fr-BE"/>
              </w:rPr>
              <w:t>installation de production d'électricité thermique</w:t>
            </w:r>
            <w:r w:rsidRPr="00261A52">
              <w:rPr>
                <w:lang w:val="fr-BE"/>
              </w:rPr>
              <w:t xml:space="preserve"> dont la puissance </w:t>
            </w:r>
            <w:r w:rsidRPr="00261A52">
              <w:rPr>
                <w:lang w:val="fr-BE"/>
              </w:rPr>
              <w:lastRenderedPageBreak/>
              <w:t xml:space="preserve">thermique totale est supérieure à 20 MW qui </w:t>
            </w:r>
            <w:proofErr w:type="gramStart"/>
            <w:r w:rsidRPr="00261A52">
              <w:rPr>
                <w:lang w:val="fr-BE"/>
              </w:rPr>
              <w:t>est</w:t>
            </w:r>
            <w:proofErr w:type="gramEnd"/>
            <w:r w:rsidRPr="00261A52">
              <w:rPr>
                <w:lang w:val="fr-BE"/>
              </w:rPr>
              <w:t xml:space="preserve"> </w:t>
            </w:r>
            <w:r w:rsidRPr="00261A52">
              <w:rPr>
                <w:u w:val="single"/>
                <w:lang w:val="fr-BE"/>
              </w:rPr>
              <w:t>planifiée</w:t>
            </w:r>
          </w:p>
        </w:tc>
        <w:tc>
          <w:tcPr>
            <w:tcW w:w="4536" w:type="dxa"/>
          </w:tcPr>
          <w:p w:rsidR="00261A52" w:rsidRPr="00261A52" w:rsidRDefault="00261A52" w:rsidP="00997E0D">
            <w:pPr>
              <w:rPr>
                <w:lang w:val="fr-BE"/>
              </w:rPr>
            </w:pPr>
            <w:r w:rsidRPr="00261A52">
              <w:rPr>
                <w:lang w:val="fr-BE"/>
              </w:rPr>
              <w:lastRenderedPageBreak/>
              <w:t xml:space="preserve">Une </w:t>
            </w:r>
            <w:r w:rsidRPr="00261A52">
              <w:rPr>
                <w:color w:val="FF0000"/>
                <w:lang w:val="fr-BE"/>
              </w:rPr>
              <w:t>cogénération</w:t>
            </w:r>
            <w:r w:rsidRPr="00261A52">
              <w:rPr>
                <w:lang w:val="fr-BE"/>
              </w:rPr>
              <w:t xml:space="preserve"> à haut rendement ou un </w:t>
            </w:r>
            <w:r w:rsidRPr="00261A52">
              <w:rPr>
                <w:color w:val="FF0000"/>
                <w:lang w:val="fr-BE"/>
              </w:rPr>
              <w:t>fonctionnement en mode cogénération</w:t>
            </w:r>
            <w:r w:rsidRPr="00261A52">
              <w:rPr>
                <w:lang w:val="fr-BE"/>
              </w:rPr>
              <w:t xml:space="preserve"> à haut </w:t>
            </w:r>
            <w:r w:rsidRPr="00261A52">
              <w:rPr>
                <w:lang w:val="fr-BE"/>
              </w:rPr>
              <w:lastRenderedPageBreak/>
              <w:t>rendement</w:t>
            </w:r>
          </w:p>
        </w:tc>
      </w:tr>
      <w:tr w:rsidR="00261A52" w:rsidRPr="000105D9" w:rsidTr="00997E0D">
        <w:tc>
          <w:tcPr>
            <w:tcW w:w="4644" w:type="dxa"/>
          </w:tcPr>
          <w:p w:rsidR="00261A52" w:rsidRPr="00261A52" w:rsidRDefault="00261A52" w:rsidP="00997E0D">
            <w:pPr>
              <w:rPr>
                <w:lang w:val="fr-BE"/>
              </w:rPr>
            </w:pPr>
            <w:r w:rsidRPr="00261A52">
              <w:rPr>
                <w:sz w:val="24"/>
                <w:lang w:val="fr-BE"/>
              </w:rPr>
              <w:lastRenderedPageBreak/>
              <w:t xml:space="preserve">Une </w:t>
            </w:r>
            <w:r w:rsidRPr="00261A52">
              <w:rPr>
                <w:color w:val="FF0000"/>
                <w:sz w:val="24"/>
                <w:lang w:val="fr-BE"/>
              </w:rPr>
              <w:t>installation existante de production d'électricité thermique</w:t>
            </w:r>
            <w:r w:rsidRPr="00261A52">
              <w:rPr>
                <w:sz w:val="24"/>
                <w:lang w:val="fr-BE"/>
              </w:rPr>
              <w:t xml:space="preserve"> d'une puissance thermique totale supérieure à 20 MW fait l'objet d'une </w:t>
            </w:r>
            <w:r w:rsidRPr="00261A52">
              <w:rPr>
                <w:sz w:val="24"/>
                <w:u w:val="single"/>
                <w:lang w:val="fr-BE"/>
              </w:rPr>
              <w:t>rénovation substantielle</w:t>
            </w:r>
          </w:p>
        </w:tc>
        <w:tc>
          <w:tcPr>
            <w:tcW w:w="4536" w:type="dxa"/>
          </w:tcPr>
          <w:p w:rsidR="00261A52" w:rsidRPr="00261A52" w:rsidRDefault="00261A52" w:rsidP="00997E0D">
            <w:pPr>
              <w:rPr>
                <w:lang w:val="fr-BE"/>
              </w:rPr>
            </w:pPr>
            <w:r w:rsidRPr="00261A52">
              <w:rPr>
                <w:lang w:val="fr-BE"/>
              </w:rPr>
              <w:t xml:space="preserve">Une </w:t>
            </w:r>
            <w:r w:rsidRPr="00261A52">
              <w:rPr>
                <w:color w:val="FF0000"/>
                <w:lang w:val="fr-BE"/>
              </w:rPr>
              <w:t>cogénération</w:t>
            </w:r>
            <w:r w:rsidRPr="00261A52">
              <w:rPr>
                <w:lang w:val="fr-BE"/>
              </w:rPr>
              <w:t xml:space="preserve"> à haut rendement ou un </w:t>
            </w:r>
            <w:r w:rsidRPr="00261A52">
              <w:rPr>
                <w:color w:val="FF0000"/>
                <w:lang w:val="fr-BE"/>
              </w:rPr>
              <w:t>fonctionnement en mode cogénération</w:t>
            </w:r>
            <w:r w:rsidRPr="00261A52">
              <w:rPr>
                <w:lang w:val="fr-BE"/>
              </w:rPr>
              <w:t xml:space="preserve"> à haut rendement</w:t>
            </w:r>
          </w:p>
        </w:tc>
      </w:tr>
      <w:tr w:rsidR="00261A52" w:rsidRPr="000105D9" w:rsidTr="00997E0D">
        <w:tc>
          <w:tcPr>
            <w:tcW w:w="4644" w:type="dxa"/>
          </w:tcPr>
          <w:p w:rsidR="00261A52" w:rsidRPr="00261A52" w:rsidRDefault="00261A52" w:rsidP="00997E0D">
            <w:pPr>
              <w:rPr>
                <w:sz w:val="24"/>
                <w:lang w:val="fr-BE"/>
              </w:rPr>
            </w:pPr>
            <w:r w:rsidRPr="00261A52">
              <w:rPr>
                <w:sz w:val="24"/>
                <w:lang w:val="fr-BE"/>
              </w:rPr>
              <w:t xml:space="preserve">Une </w:t>
            </w:r>
            <w:r w:rsidRPr="00261A52">
              <w:rPr>
                <w:color w:val="FF0000"/>
                <w:sz w:val="24"/>
                <w:lang w:val="fr-BE"/>
              </w:rPr>
              <w:t xml:space="preserve">installation industrielle d'une puissance thermique totale supérieure à 20 MW </w:t>
            </w:r>
            <w:r w:rsidRPr="00261A52">
              <w:rPr>
                <w:sz w:val="24"/>
                <w:lang w:val="fr-BE"/>
              </w:rPr>
              <w:t xml:space="preserve">génératrice de chaleur fatale à </w:t>
            </w:r>
            <w:r w:rsidRPr="00261A52">
              <w:rPr>
                <w:sz w:val="24"/>
                <w:u w:val="single"/>
                <w:lang w:val="fr-BE"/>
              </w:rPr>
              <w:t>un niveau de température utile</w:t>
            </w:r>
            <w:r w:rsidRPr="00261A52">
              <w:rPr>
                <w:sz w:val="24"/>
                <w:lang w:val="fr-BE"/>
              </w:rPr>
              <w:t xml:space="preserve"> est </w:t>
            </w:r>
            <w:r w:rsidRPr="00261A52">
              <w:rPr>
                <w:sz w:val="24"/>
                <w:u w:val="single"/>
                <w:lang w:val="fr-BE"/>
              </w:rPr>
              <w:t>planifiée</w:t>
            </w:r>
            <w:r w:rsidRPr="00261A52">
              <w:rPr>
                <w:sz w:val="24"/>
                <w:lang w:val="fr-BE"/>
              </w:rPr>
              <w:t xml:space="preserve"> ou fait l'objet d'une </w:t>
            </w:r>
            <w:r w:rsidRPr="00261A52">
              <w:rPr>
                <w:sz w:val="24"/>
                <w:u w:val="single"/>
                <w:lang w:val="fr-BE"/>
              </w:rPr>
              <w:t>rénovation substantielle</w:t>
            </w:r>
          </w:p>
        </w:tc>
        <w:tc>
          <w:tcPr>
            <w:tcW w:w="4536" w:type="dxa"/>
          </w:tcPr>
          <w:p w:rsidR="00261A52" w:rsidRPr="00261A52" w:rsidRDefault="00261A52" w:rsidP="00997E0D">
            <w:pPr>
              <w:rPr>
                <w:lang w:val="fr-BE"/>
              </w:rPr>
            </w:pPr>
            <w:r w:rsidRPr="00261A52">
              <w:rPr>
                <w:sz w:val="24"/>
                <w:lang w:val="fr-BE"/>
              </w:rPr>
              <w:t xml:space="preserve">Une </w:t>
            </w:r>
            <w:r w:rsidRPr="00261A52">
              <w:rPr>
                <w:color w:val="FF0000"/>
                <w:sz w:val="24"/>
                <w:lang w:val="fr-BE"/>
              </w:rPr>
              <w:t>valorisation de la chaleur fatale</w:t>
            </w:r>
            <w:r w:rsidRPr="00261A52">
              <w:rPr>
                <w:sz w:val="24"/>
                <w:lang w:val="fr-BE"/>
              </w:rPr>
              <w:t xml:space="preserve"> en vue de satisfaire à une demande justifiée du point de vue économique, y compris par la cogénération, et du raccordement de cette installation à un réseau de chaleur et de froid</w:t>
            </w:r>
          </w:p>
        </w:tc>
      </w:tr>
      <w:tr w:rsidR="00261A52" w:rsidRPr="000105D9" w:rsidTr="00997E0D">
        <w:tc>
          <w:tcPr>
            <w:tcW w:w="4644" w:type="dxa"/>
          </w:tcPr>
          <w:p w:rsidR="00261A52" w:rsidRPr="00261A52" w:rsidRDefault="00261A52" w:rsidP="00997E0D">
            <w:pPr>
              <w:rPr>
                <w:lang w:val="fr-BE"/>
              </w:rPr>
            </w:pPr>
            <w:r w:rsidRPr="00261A52">
              <w:rPr>
                <w:sz w:val="24"/>
                <w:lang w:val="fr-BE"/>
              </w:rPr>
              <w:t xml:space="preserve">Un nouveau réseau de chaleur et de froid est </w:t>
            </w:r>
            <w:r w:rsidRPr="00261A52">
              <w:rPr>
                <w:sz w:val="24"/>
                <w:u w:val="single"/>
                <w:lang w:val="fr-BE"/>
              </w:rPr>
              <w:t>planifié</w:t>
            </w:r>
            <w:r w:rsidRPr="00261A52">
              <w:rPr>
                <w:sz w:val="24"/>
                <w:lang w:val="fr-BE"/>
              </w:rPr>
              <w:t xml:space="preserve">, ou, dans un réseau de chaleur et de froid existant, une nouvelle </w:t>
            </w:r>
            <w:r w:rsidRPr="00261A52">
              <w:rPr>
                <w:color w:val="FF0000"/>
                <w:sz w:val="24"/>
                <w:lang w:val="fr-BE"/>
              </w:rPr>
              <w:t>installation de production d'énergie d'une puissance thermique totale supérieure à 20 MW</w:t>
            </w:r>
            <w:r w:rsidRPr="00261A52">
              <w:rPr>
                <w:sz w:val="24"/>
                <w:lang w:val="fr-BE"/>
              </w:rPr>
              <w:t xml:space="preserve"> est </w:t>
            </w:r>
            <w:r w:rsidRPr="00261A52">
              <w:rPr>
                <w:sz w:val="24"/>
                <w:u w:val="single"/>
                <w:lang w:val="fr-BE"/>
              </w:rPr>
              <w:t>planifiée</w:t>
            </w:r>
            <w:r w:rsidRPr="00261A52">
              <w:rPr>
                <w:sz w:val="24"/>
                <w:lang w:val="fr-BE"/>
              </w:rPr>
              <w:t xml:space="preserve"> ou une telle installation existante fait l'objet d'une </w:t>
            </w:r>
            <w:r w:rsidRPr="00261A52">
              <w:rPr>
                <w:sz w:val="24"/>
                <w:u w:val="single"/>
                <w:lang w:val="fr-BE"/>
              </w:rPr>
              <w:t>rénovation substantielle</w:t>
            </w:r>
          </w:p>
        </w:tc>
        <w:tc>
          <w:tcPr>
            <w:tcW w:w="4536" w:type="dxa"/>
          </w:tcPr>
          <w:p w:rsidR="00261A52" w:rsidRPr="00261A52" w:rsidRDefault="00261A52" w:rsidP="00997E0D">
            <w:pPr>
              <w:rPr>
                <w:lang w:val="fr-BE"/>
              </w:rPr>
            </w:pPr>
            <w:r w:rsidRPr="00261A52">
              <w:rPr>
                <w:sz w:val="24"/>
                <w:lang w:val="fr-BE"/>
              </w:rPr>
              <w:t xml:space="preserve">Une </w:t>
            </w:r>
            <w:r w:rsidRPr="00261A52">
              <w:rPr>
                <w:color w:val="FF0000"/>
                <w:sz w:val="24"/>
                <w:lang w:val="fr-BE"/>
              </w:rPr>
              <w:t>valorisation de la chaleur fatale provenant des installations industrielles situées à proximité</w:t>
            </w:r>
          </w:p>
        </w:tc>
      </w:tr>
    </w:tbl>
    <w:p w:rsidR="00C07E17" w:rsidRDefault="00C07E17">
      <w:pPr>
        <w:rPr>
          <w:lang w:val="fr-BE"/>
        </w:rPr>
      </w:pPr>
    </w:p>
    <w:p w:rsidR="005609C4" w:rsidRPr="005609C4" w:rsidRDefault="005609C4" w:rsidP="00E504CA">
      <w:pPr>
        <w:pStyle w:val="Titre2"/>
        <w:numPr>
          <w:ilvl w:val="0"/>
          <w:numId w:val="4"/>
        </w:numPr>
        <w:rPr>
          <w:lang w:val="fr-BE"/>
        </w:rPr>
      </w:pPr>
      <w:r>
        <w:rPr>
          <w:lang w:val="fr-BE"/>
        </w:rPr>
        <w:t xml:space="preserve">Principe de la </w:t>
      </w:r>
      <w:r w:rsidRPr="005609C4">
        <w:rPr>
          <w:lang w:val="fr-BE"/>
        </w:rPr>
        <w:t>Méthode de calcul</w:t>
      </w:r>
    </w:p>
    <w:p w:rsidR="005609C4" w:rsidRPr="005609C4" w:rsidRDefault="005609C4" w:rsidP="005609C4">
      <w:pPr>
        <w:autoSpaceDE w:val="0"/>
        <w:autoSpaceDN w:val="0"/>
        <w:adjustRightInd w:val="0"/>
        <w:spacing w:after="0" w:line="240" w:lineRule="auto"/>
        <w:rPr>
          <w:lang w:val="fr-BE"/>
        </w:rPr>
      </w:pPr>
    </w:p>
    <w:p w:rsidR="005609C4" w:rsidRPr="005609C4" w:rsidRDefault="005609C4" w:rsidP="005609C4">
      <w:pPr>
        <w:autoSpaceDE w:val="0"/>
        <w:autoSpaceDN w:val="0"/>
        <w:adjustRightInd w:val="0"/>
        <w:spacing w:after="0" w:line="240" w:lineRule="auto"/>
        <w:rPr>
          <w:lang w:val="fr-BE"/>
        </w:rPr>
      </w:pPr>
      <w:r w:rsidRPr="005609C4">
        <w:rPr>
          <w:lang w:val="fr-BE"/>
        </w:rPr>
        <w:t xml:space="preserve">L’analyse sera basée sur une analyse financière reflétant les flux de trésorerie liés aux investissements et à leur exploitation. </w:t>
      </w:r>
    </w:p>
    <w:p w:rsidR="005609C4" w:rsidRPr="005609C4" w:rsidRDefault="005609C4" w:rsidP="005609C4">
      <w:pPr>
        <w:autoSpaceDE w:val="0"/>
        <w:autoSpaceDN w:val="0"/>
        <w:adjustRightInd w:val="0"/>
        <w:spacing w:after="0" w:line="240" w:lineRule="auto"/>
        <w:rPr>
          <w:lang w:val="fr-BE"/>
        </w:rPr>
      </w:pPr>
      <w:r w:rsidRPr="005609C4">
        <w:rPr>
          <w:lang w:val="fr-BE"/>
        </w:rPr>
        <w:t>Le principe de calcul est le suivant :</w:t>
      </w:r>
    </w:p>
    <w:p w:rsidR="005609C4" w:rsidRPr="005609C4" w:rsidRDefault="005609C4" w:rsidP="005609C4">
      <w:pPr>
        <w:autoSpaceDE w:val="0"/>
        <w:autoSpaceDN w:val="0"/>
        <w:adjustRightInd w:val="0"/>
        <w:spacing w:after="0" w:line="240" w:lineRule="auto"/>
        <w:rPr>
          <w:lang w:val="fr-BE"/>
        </w:rPr>
      </w:pPr>
    </w:p>
    <w:p w:rsidR="005609C4" w:rsidRPr="002B2D99" w:rsidRDefault="00363F53" w:rsidP="005609C4">
      <w:pPr>
        <w:rPr>
          <w:lang w:val="nl-BE"/>
        </w:rPr>
      </w:pPr>
      <w:r w:rsidRPr="00363F53">
        <w:rPr>
          <w:noProof/>
          <w:lang w:val="fr-FR"/>
        </w:rPr>
        <w:pict>
          <v:shapetype id="_x0000_t202" coordsize="21600,21600" o:spt="202" path="m,l,21600r21600,l21600,xe">
            <v:stroke joinstyle="miter"/>
            <v:path gradientshapeok="t" o:connecttype="rect"/>
          </v:shapetype>
          <v:shape id="_x0000_s1026" type="#_x0000_t202" style="position:absolute;margin-left:16.45pt;margin-top:32.3pt;width:179.8pt;height:82.45pt;z-index:251658240;mso-width-percent:400;mso-width-percent:400;mso-width-relative:margin;mso-height-relative:margin">
            <v:textbox style="mso-next-textbox:#_x0000_s1026">
              <w:txbxContent>
                <w:p w:rsidR="005609C4" w:rsidRPr="005609C4" w:rsidRDefault="005609C4" w:rsidP="005609C4">
                  <w:pPr>
                    <w:spacing w:after="0"/>
                    <w:rPr>
                      <w:sz w:val="18"/>
                      <w:szCs w:val="18"/>
                      <w:lang w:val="fr-BE"/>
                    </w:rPr>
                  </w:pPr>
                  <w:r w:rsidRPr="005609C4">
                    <w:rPr>
                      <w:sz w:val="18"/>
                      <w:szCs w:val="18"/>
                      <w:lang w:val="fr-BE"/>
                    </w:rPr>
                    <w:t xml:space="preserve">Où </w:t>
                  </w:r>
                </w:p>
                <w:p w:rsidR="005609C4" w:rsidRPr="005609C4" w:rsidRDefault="005609C4" w:rsidP="005609C4">
                  <w:pPr>
                    <w:spacing w:after="0"/>
                    <w:rPr>
                      <w:sz w:val="18"/>
                      <w:szCs w:val="18"/>
                      <w:lang w:val="fr-BE"/>
                    </w:rPr>
                  </w:pPr>
                  <w:r w:rsidRPr="005609C4">
                    <w:rPr>
                      <w:sz w:val="18"/>
                      <w:szCs w:val="18"/>
                      <w:lang w:val="fr-BE"/>
                    </w:rPr>
                    <w:t>I= Montant d’investissement</w:t>
                  </w:r>
                </w:p>
                <w:p w:rsidR="005609C4" w:rsidRPr="005609C4" w:rsidRDefault="005609C4" w:rsidP="005609C4">
                  <w:pPr>
                    <w:spacing w:after="0"/>
                    <w:rPr>
                      <w:sz w:val="18"/>
                      <w:szCs w:val="18"/>
                      <w:lang w:val="fr-BE"/>
                    </w:rPr>
                  </w:pPr>
                  <w:r w:rsidRPr="005609C4">
                    <w:rPr>
                      <w:sz w:val="18"/>
                      <w:szCs w:val="18"/>
                      <w:lang w:val="fr-BE"/>
                    </w:rPr>
                    <w:t>F= Cash généré par l’investissement</w:t>
                  </w:r>
                </w:p>
                <w:p w:rsidR="005609C4" w:rsidRPr="005609C4" w:rsidRDefault="005609C4" w:rsidP="005609C4">
                  <w:pPr>
                    <w:spacing w:after="0"/>
                    <w:rPr>
                      <w:sz w:val="18"/>
                      <w:szCs w:val="18"/>
                      <w:lang w:val="fr-BE"/>
                    </w:rPr>
                  </w:pPr>
                  <w:r w:rsidRPr="005609C4">
                    <w:rPr>
                      <w:sz w:val="18"/>
                      <w:szCs w:val="18"/>
                      <w:lang w:val="fr-BE"/>
                    </w:rPr>
                    <w:t>n = durée de vie du projet</w:t>
                  </w:r>
                </w:p>
                <w:p w:rsidR="005609C4" w:rsidRPr="005609C4" w:rsidRDefault="005609C4" w:rsidP="005609C4">
                  <w:pPr>
                    <w:spacing w:after="0"/>
                    <w:rPr>
                      <w:sz w:val="18"/>
                      <w:szCs w:val="18"/>
                      <w:lang w:val="fr-BE"/>
                    </w:rPr>
                  </w:pPr>
                  <w:proofErr w:type="gramStart"/>
                  <w:r w:rsidRPr="005609C4">
                    <w:rPr>
                      <w:sz w:val="18"/>
                      <w:szCs w:val="18"/>
                      <w:lang w:val="fr-BE"/>
                    </w:rPr>
                    <w:t>i</w:t>
                  </w:r>
                  <w:proofErr w:type="gramEnd"/>
                  <w:r w:rsidRPr="005609C4">
                    <w:rPr>
                      <w:sz w:val="18"/>
                      <w:szCs w:val="18"/>
                      <w:lang w:val="fr-BE"/>
                    </w:rPr>
                    <w:t xml:space="preserve"> = taux d’actualisation</w:t>
                  </w:r>
                </w:p>
                <w:p w:rsidR="005609C4" w:rsidRPr="005609C4" w:rsidRDefault="005609C4" w:rsidP="005609C4">
                  <w:pPr>
                    <w:spacing w:after="0"/>
                    <w:rPr>
                      <w:sz w:val="18"/>
                      <w:szCs w:val="18"/>
                      <w:lang w:val="fr-BE"/>
                    </w:rPr>
                  </w:pPr>
                  <w:r w:rsidRPr="005609C4">
                    <w:rPr>
                      <w:sz w:val="18"/>
                      <w:szCs w:val="18"/>
                      <w:lang w:val="fr-BE"/>
                    </w:rPr>
                    <w:t>VR = Valeur résiduelle</w:t>
                  </w:r>
                </w:p>
                <w:p w:rsidR="005609C4" w:rsidRPr="005609C4" w:rsidRDefault="005609C4" w:rsidP="005609C4">
                  <w:pPr>
                    <w:spacing w:after="0"/>
                    <w:rPr>
                      <w:lang w:val="fr-BE"/>
                    </w:rPr>
                  </w:pPr>
                </w:p>
                <w:p w:rsidR="005609C4" w:rsidRPr="005609C4" w:rsidRDefault="005609C4" w:rsidP="005609C4">
                  <w:pPr>
                    <w:rPr>
                      <w:lang w:val="fr-BE"/>
                    </w:rPr>
                  </w:pPr>
                </w:p>
              </w:txbxContent>
            </v:textbox>
          </v:shape>
        </w:pict>
      </w:r>
      <m:oMath>
        <m:r>
          <w:rPr>
            <w:rFonts w:ascii="Cambria Math" w:hAnsi="Cambria Math"/>
          </w:rPr>
          <m:t>VAN</m:t>
        </m:r>
        <m:r>
          <w:rPr>
            <w:rFonts w:ascii="Cambria Math" w:hAnsi="Cambria Math"/>
            <w:lang w:val="nl-BE"/>
          </w:rPr>
          <m:t>=-</m:t>
        </m:r>
        <m:r>
          <w:rPr>
            <w:rFonts w:ascii="Cambria Math" w:hAnsi="Cambria Math"/>
          </w:rPr>
          <m:t>I</m:t>
        </m:r>
        <m:r>
          <w:rPr>
            <w:rFonts w:ascii="Cambria Math" w:hAnsi="Cambria Math"/>
            <w:lang w:val="nl-BE"/>
          </w:rPr>
          <m:t>+</m:t>
        </m:r>
        <m:nary>
          <m:naryPr>
            <m:chr m:val="∑"/>
            <m:limLoc m:val="undOvr"/>
            <m:ctrlPr>
              <w:rPr>
                <w:rFonts w:ascii="Cambria Math" w:hAnsi="Cambria Math"/>
                <w:i/>
              </w:rPr>
            </m:ctrlPr>
          </m:naryPr>
          <m:sub>
            <m:r>
              <w:rPr>
                <w:rFonts w:ascii="Cambria Math" w:hAnsi="Cambria Math"/>
              </w:rPr>
              <m:t>t</m:t>
            </m:r>
            <m:r>
              <w:rPr>
                <w:rFonts w:ascii="Cambria Math" w:hAnsi="Cambria Math"/>
                <w:lang w:val="nl-BE"/>
              </w:rPr>
              <m:t>=1</m:t>
            </m:r>
          </m:sub>
          <m:sup>
            <m:r>
              <w:rPr>
                <w:rFonts w:ascii="Cambria Math" w:hAnsi="Cambria Math"/>
              </w:rPr>
              <m:t>n</m:t>
            </m:r>
          </m:sup>
          <m:e>
            <m:f>
              <m:fPr>
                <m:ctrlPr>
                  <w:rPr>
                    <w:rFonts w:ascii="Cambria Math" w:hAnsi="Cambria Math"/>
                    <w:i/>
                  </w:rPr>
                </m:ctrlPr>
              </m:fPr>
              <m:num>
                <m:r>
                  <w:rPr>
                    <w:rFonts w:ascii="Cambria Math" w:hAnsi="Cambria Math"/>
                  </w:rPr>
                  <m:t>Ft</m:t>
                </m:r>
              </m:num>
              <m:den>
                <m:sSup>
                  <m:sSupPr>
                    <m:ctrlPr>
                      <w:rPr>
                        <w:rFonts w:ascii="Cambria Math" w:hAnsi="Cambria Math"/>
                        <w:i/>
                      </w:rPr>
                    </m:ctrlPr>
                  </m:sSupPr>
                  <m:e>
                    <m:r>
                      <w:rPr>
                        <w:rFonts w:ascii="Cambria Math" w:hAnsi="Cambria Math"/>
                        <w:lang w:val="nl-BE"/>
                      </w:rPr>
                      <m:t>(1+</m:t>
                    </m:r>
                    <m:r>
                      <w:rPr>
                        <w:rFonts w:ascii="Cambria Math" w:hAnsi="Cambria Math"/>
                      </w:rPr>
                      <m:t>i</m:t>
                    </m:r>
                    <m:r>
                      <w:rPr>
                        <w:rFonts w:ascii="Cambria Math" w:hAnsi="Cambria Math"/>
                        <w:lang w:val="nl-BE"/>
                      </w:rPr>
                      <m:t>)</m:t>
                    </m:r>
                  </m:e>
                  <m:sup>
                    <m:r>
                      <w:rPr>
                        <w:rFonts w:ascii="Cambria Math" w:hAnsi="Cambria Math"/>
                      </w:rPr>
                      <m:t>n</m:t>
                    </m:r>
                  </m:sup>
                </m:sSup>
              </m:den>
            </m:f>
          </m:e>
        </m:nary>
      </m:oMath>
      <w:r w:rsidR="005609C4" w:rsidRPr="002B2D99">
        <w:rPr>
          <w:rFonts w:eastAsiaTheme="minorEastAsia"/>
          <w:noProof/>
          <w:lang w:val="nl-BE"/>
        </w:rPr>
        <w:t xml:space="preserve"> + VR</w:t>
      </w:r>
      <w:r w:rsidR="005609C4" w:rsidRPr="002B2D99">
        <w:rPr>
          <w:rFonts w:ascii="Cambria Math" w:hAnsi="Cambria Math"/>
          <w:lang w:val="nl-BE"/>
        </w:rPr>
        <w:br/>
      </w:r>
    </w:p>
    <w:p w:rsidR="005609C4" w:rsidRPr="002B2D99" w:rsidRDefault="005609C4" w:rsidP="005609C4">
      <w:pPr>
        <w:autoSpaceDE w:val="0"/>
        <w:autoSpaceDN w:val="0"/>
        <w:adjustRightInd w:val="0"/>
        <w:spacing w:after="0" w:line="240" w:lineRule="auto"/>
        <w:rPr>
          <w:lang w:val="nl-BE"/>
        </w:rPr>
      </w:pPr>
    </w:p>
    <w:p w:rsidR="005609C4" w:rsidRPr="002B2D99" w:rsidRDefault="005609C4" w:rsidP="005609C4">
      <w:pPr>
        <w:autoSpaceDE w:val="0"/>
        <w:autoSpaceDN w:val="0"/>
        <w:adjustRightInd w:val="0"/>
        <w:spacing w:after="0" w:line="240" w:lineRule="auto"/>
        <w:rPr>
          <w:lang w:val="nl-BE"/>
        </w:rPr>
      </w:pPr>
    </w:p>
    <w:p w:rsidR="005609C4" w:rsidRPr="002B2D99" w:rsidRDefault="005609C4" w:rsidP="005609C4">
      <w:pPr>
        <w:autoSpaceDE w:val="0"/>
        <w:autoSpaceDN w:val="0"/>
        <w:adjustRightInd w:val="0"/>
        <w:spacing w:after="0" w:line="240" w:lineRule="auto"/>
        <w:rPr>
          <w:lang w:val="nl-BE"/>
        </w:rPr>
      </w:pPr>
    </w:p>
    <w:p w:rsidR="005609C4" w:rsidRPr="002B2D99" w:rsidRDefault="005609C4" w:rsidP="005609C4">
      <w:pPr>
        <w:autoSpaceDE w:val="0"/>
        <w:autoSpaceDN w:val="0"/>
        <w:adjustRightInd w:val="0"/>
        <w:spacing w:after="0" w:line="240" w:lineRule="auto"/>
        <w:rPr>
          <w:lang w:val="nl-BE"/>
        </w:rPr>
      </w:pPr>
    </w:p>
    <w:p w:rsidR="005609C4" w:rsidRPr="002B2D99" w:rsidRDefault="005609C4" w:rsidP="005609C4">
      <w:pPr>
        <w:autoSpaceDE w:val="0"/>
        <w:autoSpaceDN w:val="0"/>
        <w:adjustRightInd w:val="0"/>
        <w:spacing w:after="0" w:line="240" w:lineRule="auto"/>
        <w:rPr>
          <w:lang w:val="nl-BE"/>
        </w:rPr>
      </w:pPr>
    </w:p>
    <w:p w:rsidR="005609C4" w:rsidRPr="002B2D99" w:rsidRDefault="005609C4" w:rsidP="005609C4">
      <w:pPr>
        <w:autoSpaceDE w:val="0"/>
        <w:autoSpaceDN w:val="0"/>
        <w:adjustRightInd w:val="0"/>
        <w:spacing w:after="0" w:line="240" w:lineRule="auto"/>
        <w:rPr>
          <w:lang w:val="nl-BE"/>
        </w:rPr>
      </w:pPr>
    </w:p>
    <w:p w:rsidR="005609C4" w:rsidRPr="002B2D99" w:rsidRDefault="005609C4" w:rsidP="005609C4">
      <w:pPr>
        <w:autoSpaceDE w:val="0"/>
        <w:autoSpaceDN w:val="0"/>
        <w:adjustRightInd w:val="0"/>
        <w:spacing w:after="0" w:line="240" w:lineRule="auto"/>
        <w:rPr>
          <w:lang w:val="nl-BE"/>
        </w:rPr>
      </w:pPr>
    </w:p>
    <w:p w:rsidR="005609C4" w:rsidRDefault="005609C4" w:rsidP="005609C4">
      <w:pPr>
        <w:autoSpaceDE w:val="0"/>
        <w:autoSpaceDN w:val="0"/>
        <w:adjustRightInd w:val="0"/>
        <w:spacing w:after="0" w:line="240" w:lineRule="auto"/>
        <w:rPr>
          <w:lang w:val="fr-BE"/>
        </w:rPr>
      </w:pPr>
      <w:r w:rsidRPr="005609C4">
        <w:rPr>
          <w:lang w:val="fr-BE"/>
        </w:rPr>
        <w:t>Le taux de rentabilité interne du projet sera également calculé (taux qui annule la VAN).</w:t>
      </w:r>
    </w:p>
    <w:p w:rsidR="005609C4" w:rsidRDefault="005609C4" w:rsidP="005609C4">
      <w:pPr>
        <w:autoSpaceDE w:val="0"/>
        <w:autoSpaceDN w:val="0"/>
        <w:adjustRightInd w:val="0"/>
        <w:spacing w:after="0" w:line="240" w:lineRule="auto"/>
        <w:rPr>
          <w:lang w:val="fr-BE"/>
        </w:rPr>
      </w:pPr>
    </w:p>
    <w:p w:rsidR="005609C4" w:rsidRDefault="005609C4" w:rsidP="005609C4">
      <w:pPr>
        <w:autoSpaceDE w:val="0"/>
        <w:autoSpaceDN w:val="0"/>
        <w:adjustRightInd w:val="0"/>
        <w:spacing w:after="0" w:line="240" w:lineRule="auto"/>
        <w:rPr>
          <w:lang w:val="fr-BE"/>
        </w:rPr>
      </w:pPr>
    </w:p>
    <w:p w:rsidR="00E06B4D" w:rsidRDefault="00E06B4D" w:rsidP="00E504CA">
      <w:pPr>
        <w:pStyle w:val="Titre2"/>
        <w:numPr>
          <w:ilvl w:val="0"/>
          <w:numId w:val="4"/>
        </w:numPr>
        <w:rPr>
          <w:lang w:val="fr-BE"/>
        </w:rPr>
      </w:pPr>
      <w:r>
        <w:rPr>
          <w:lang w:val="fr-BE"/>
        </w:rPr>
        <w:t>Hypothèses de travail</w:t>
      </w:r>
    </w:p>
    <w:p w:rsidR="00E06B4D" w:rsidRPr="005609C4" w:rsidRDefault="00E06B4D" w:rsidP="005609C4">
      <w:pPr>
        <w:autoSpaceDE w:val="0"/>
        <w:autoSpaceDN w:val="0"/>
        <w:adjustRightInd w:val="0"/>
        <w:spacing w:after="0" w:line="240" w:lineRule="auto"/>
        <w:rPr>
          <w:lang w:val="fr-BE"/>
        </w:rPr>
      </w:pPr>
    </w:p>
    <w:p w:rsidR="00742577" w:rsidRDefault="008E14A6" w:rsidP="00E504CA">
      <w:pPr>
        <w:pStyle w:val="Titre3"/>
        <w:numPr>
          <w:ilvl w:val="1"/>
          <w:numId w:val="4"/>
        </w:numPr>
        <w:rPr>
          <w:lang w:val="fr-BE"/>
        </w:rPr>
      </w:pPr>
      <w:r>
        <w:rPr>
          <w:lang w:val="fr-BE"/>
        </w:rPr>
        <w:t>Hypothèses générales</w:t>
      </w:r>
    </w:p>
    <w:p w:rsidR="008E14A6" w:rsidRDefault="008E14A6">
      <w:pPr>
        <w:rPr>
          <w:lang w:val="fr-BE"/>
        </w:rPr>
      </w:pPr>
    </w:p>
    <w:p w:rsidR="008E14A6" w:rsidRDefault="00FA301A">
      <w:pPr>
        <w:rPr>
          <w:lang w:val="fr-BE"/>
        </w:rPr>
      </w:pPr>
      <w:r>
        <w:rPr>
          <w:lang w:val="fr-BE"/>
        </w:rPr>
        <w:t>Les hypothèses générales nécessaires pour réaliser l’analyse sont :</w:t>
      </w:r>
    </w:p>
    <w:p w:rsidR="00FA301A" w:rsidRDefault="00FA301A" w:rsidP="00FA301A">
      <w:pPr>
        <w:pStyle w:val="Paragraphedeliste"/>
        <w:numPr>
          <w:ilvl w:val="0"/>
          <w:numId w:val="2"/>
        </w:numPr>
        <w:rPr>
          <w:lang w:val="fr-BE"/>
        </w:rPr>
      </w:pPr>
      <w:r>
        <w:rPr>
          <w:lang w:val="fr-BE"/>
        </w:rPr>
        <w:lastRenderedPageBreak/>
        <w:t>L’année de démarrage du projet</w:t>
      </w:r>
    </w:p>
    <w:p w:rsidR="00FA301A" w:rsidRDefault="00FA301A" w:rsidP="00FA301A">
      <w:pPr>
        <w:pStyle w:val="Paragraphedeliste"/>
        <w:numPr>
          <w:ilvl w:val="0"/>
          <w:numId w:val="2"/>
        </w:numPr>
        <w:rPr>
          <w:lang w:val="fr-BE"/>
        </w:rPr>
      </w:pPr>
      <w:r>
        <w:rPr>
          <w:lang w:val="fr-BE"/>
        </w:rPr>
        <w:t>L’inflation des coûts (dont coût du réseau) : par défaut, estimé à 2%</w:t>
      </w:r>
    </w:p>
    <w:p w:rsidR="00FA301A" w:rsidRDefault="00FA301A" w:rsidP="00FA301A">
      <w:pPr>
        <w:pStyle w:val="Paragraphedeliste"/>
        <w:numPr>
          <w:ilvl w:val="0"/>
          <w:numId w:val="2"/>
        </w:numPr>
        <w:rPr>
          <w:lang w:val="fr-BE"/>
        </w:rPr>
      </w:pPr>
      <w:r>
        <w:rPr>
          <w:lang w:val="fr-BE"/>
        </w:rPr>
        <w:t>L’inflation des prix d’électricité et de la chaleur, estimé à 3.5%</w:t>
      </w:r>
    </w:p>
    <w:p w:rsidR="00FA301A" w:rsidRDefault="00FA301A" w:rsidP="00FA301A">
      <w:pPr>
        <w:pStyle w:val="Paragraphedeliste"/>
        <w:numPr>
          <w:ilvl w:val="0"/>
          <w:numId w:val="2"/>
        </w:numPr>
        <w:rPr>
          <w:lang w:val="fr-BE"/>
        </w:rPr>
      </w:pPr>
      <w:r>
        <w:rPr>
          <w:lang w:val="fr-BE"/>
        </w:rPr>
        <w:t>L’inflation des combustibles (biomasse), estimé à 3%</w:t>
      </w:r>
    </w:p>
    <w:p w:rsidR="00FA301A" w:rsidRDefault="00FA301A" w:rsidP="00FA301A">
      <w:pPr>
        <w:pStyle w:val="Paragraphedeliste"/>
        <w:numPr>
          <w:ilvl w:val="0"/>
          <w:numId w:val="2"/>
        </w:numPr>
        <w:rPr>
          <w:lang w:val="fr-BE"/>
        </w:rPr>
      </w:pPr>
      <w:r>
        <w:rPr>
          <w:lang w:val="fr-BE"/>
        </w:rPr>
        <w:t>Le prix de l’électricité « </w:t>
      </w:r>
      <w:proofErr w:type="spellStart"/>
      <w:r>
        <w:rPr>
          <w:lang w:val="fr-BE"/>
        </w:rPr>
        <w:t>retail</w:t>
      </w:r>
      <w:proofErr w:type="spellEnd"/>
      <w:r>
        <w:rPr>
          <w:lang w:val="fr-BE"/>
        </w:rPr>
        <w:t xml:space="preserve"> », c’est-à-dire le prix de l’électricité </w:t>
      </w:r>
      <w:r w:rsidR="00317618">
        <w:rPr>
          <w:lang w:val="fr-BE"/>
        </w:rPr>
        <w:t>achetée sur le marché par le porteur de projet</w:t>
      </w:r>
    </w:p>
    <w:p w:rsidR="00317618" w:rsidRDefault="00317618" w:rsidP="00FA301A">
      <w:pPr>
        <w:pStyle w:val="Paragraphedeliste"/>
        <w:numPr>
          <w:ilvl w:val="0"/>
          <w:numId w:val="2"/>
        </w:numPr>
        <w:rPr>
          <w:lang w:val="fr-BE"/>
        </w:rPr>
      </w:pPr>
      <w:r>
        <w:rPr>
          <w:lang w:val="fr-BE"/>
        </w:rPr>
        <w:t>Le prix de l’électricité « </w:t>
      </w:r>
      <w:proofErr w:type="spellStart"/>
      <w:r>
        <w:rPr>
          <w:lang w:val="fr-BE"/>
        </w:rPr>
        <w:t>market</w:t>
      </w:r>
      <w:proofErr w:type="spellEnd"/>
      <w:r>
        <w:rPr>
          <w:lang w:val="fr-BE"/>
        </w:rPr>
        <w:t> », c’est-à-dire, le prix de l’électricité vendue par le porteur de projet sur le marché</w:t>
      </w:r>
    </w:p>
    <w:p w:rsidR="00317618" w:rsidRDefault="00317618" w:rsidP="00FA301A">
      <w:pPr>
        <w:pStyle w:val="Paragraphedeliste"/>
        <w:numPr>
          <w:ilvl w:val="0"/>
          <w:numId w:val="2"/>
        </w:numPr>
        <w:rPr>
          <w:lang w:val="fr-BE"/>
        </w:rPr>
      </w:pPr>
      <w:r>
        <w:rPr>
          <w:lang w:val="fr-BE"/>
        </w:rPr>
        <w:t>Le coût d’injection de l’électricité vendue par le porteur de projet, à sa charge</w:t>
      </w:r>
    </w:p>
    <w:p w:rsidR="00317618" w:rsidRDefault="00317618" w:rsidP="00FA301A">
      <w:pPr>
        <w:pStyle w:val="Paragraphedeliste"/>
        <w:numPr>
          <w:ilvl w:val="0"/>
          <w:numId w:val="2"/>
        </w:numPr>
        <w:rPr>
          <w:lang w:val="fr-BE"/>
        </w:rPr>
      </w:pPr>
      <w:r w:rsidRPr="00317618">
        <w:rPr>
          <w:lang w:val="fr-BE"/>
        </w:rPr>
        <w:t>Le prix de référence de la chaleur</w:t>
      </w:r>
      <w:r>
        <w:rPr>
          <w:lang w:val="fr-BE"/>
        </w:rPr>
        <w:t xml:space="preserve"> (gaz ou mazout), c’est-à-dire le prix d’achat de la chaleur</w:t>
      </w:r>
      <w:r w:rsidRPr="00317618">
        <w:rPr>
          <w:lang w:val="fr-BE"/>
        </w:rPr>
        <w:t xml:space="preserve"> </w:t>
      </w:r>
      <w:r>
        <w:rPr>
          <w:lang w:val="fr-BE"/>
        </w:rPr>
        <w:t xml:space="preserve"> par le porteur de projet</w:t>
      </w:r>
    </w:p>
    <w:p w:rsidR="00317618" w:rsidRDefault="00317618" w:rsidP="00FA301A">
      <w:pPr>
        <w:pStyle w:val="Paragraphedeliste"/>
        <w:numPr>
          <w:ilvl w:val="0"/>
          <w:numId w:val="2"/>
        </w:numPr>
        <w:rPr>
          <w:lang w:val="fr-BE"/>
        </w:rPr>
      </w:pPr>
      <w:r>
        <w:rPr>
          <w:lang w:val="fr-BE"/>
        </w:rPr>
        <w:t>Le coût de l’intrant : le coût d’</w:t>
      </w:r>
      <w:r w:rsidR="00101D52">
        <w:rPr>
          <w:lang w:val="fr-BE"/>
        </w:rPr>
        <w:t>achat des intrants</w:t>
      </w:r>
      <w:r>
        <w:rPr>
          <w:lang w:val="fr-BE"/>
        </w:rPr>
        <w:t xml:space="preserve"> par le porteur de projet</w:t>
      </w:r>
    </w:p>
    <w:p w:rsidR="00317618" w:rsidRDefault="00317618" w:rsidP="00FA301A">
      <w:pPr>
        <w:pStyle w:val="Paragraphedeliste"/>
        <w:numPr>
          <w:ilvl w:val="0"/>
          <w:numId w:val="2"/>
        </w:numPr>
        <w:rPr>
          <w:lang w:val="fr-BE"/>
        </w:rPr>
      </w:pPr>
      <w:r w:rsidRPr="00317618">
        <w:rPr>
          <w:lang w:val="fr-BE"/>
        </w:rPr>
        <w:t xml:space="preserve">Le prix de vente de </w:t>
      </w:r>
      <w:r>
        <w:rPr>
          <w:lang w:val="fr-BE"/>
        </w:rPr>
        <w:t>la chaleur par le porteur de projet</w:t>
      </w:r>
    </w:p>
    <w:p w:rsidR="00317618" w:rsidRDefault="00317618" w:rsidP="00FA301A">
      <w:pPr>
        <w:pStyle w:val="Paragraphedeliste"/>
        <w:numPr>
          <w:ilvl w:val="0"/>
          <w:numId w:val="2"/>
        </w:numPr>
        <w:rPr>
          <w:lang w:val="fr-BE"/>
        </w:rPr>
      </w:pPr>
      <w:r>
        <w:rPr>
          <w:lang w:val="fr-BE"/>
        </w:rPr>
        <w:t>Le taux d’imposition ; le maximum est fixé à 33.99%, mais ce taux est à corriger en fonction du pourcentage d’impôts payés par l’entité, porteuse du projet</w:t>
      </w:r>
    </w:p>
    <w:p w:rsidR="00317618" w:rsidRDefault="00317618" w:rsidP="00FA301A">
      <w:pPr>
        <w:pStyle w:val="Paragraphedeliste"/>
        <w:numPr>
          <w:ilvl w:val="0"/>
          <w:numId w:val="2"/>
        </w:numPr>
        <w:rPr>
          <w:lang w:val="fr-BE"/>
        </w:rPr>
      </w:pPr>
      <w:r>
        <w:rPr>
          <w:lang w:val="fr-BE"/>
        </w:rPr>
        <w:t>Le taux d’actualisation ; ce taux peut être différencié pour les 2 projets, le risque exposé n’étant pas nécessairement identiques en fonction des projets identifiés. Cependant, il est demandé d’argumenter  le choix de ce taux</w:t>
      </w:r>
      <w:r w:rsidR="00F529D1">
        <w:rPr>
          <w:rStyle w:val="Appelnotedebasdep"/>
          <w:lang w:val="fr-BE"/>
        </w:rPr>
        <w:footnoteReference w:id="2"/>
      </w:r>
      <w:r>
        <w:rPr>
          <w:lang w:val="fr-BE"/>
        </w:rPr>
        <w:t xml:space="preserve">. </w:t>
      </w:r>
    </w:p>
    <w:p w:rsidR="00317618" w:rsidRDefault="00317618" w:rsidP="00317618">
      <w:pPr>
        <w:pStyle w:val="Paragraphedeliste"/>
        <w:rPr>
          <w:lang w:val="fr-BE"/>
        </w:rPr>
      </w:pPr>
    </w:p>
    <w:p w:rsidR="00FA301A" w:rsidRDefault="00FA301A" w:rsidP="00FA301A">
      <w:pPr>
        <w:rPr>
          <w:lang w:val="fr-BE"/>
        </w:rPr>
      </w:pPr>
      <w:r>
        <w:rPr>
          <w:lang w:val="fr-BE"/>
        </w:rPr>
        <w:t xml:space="preserve">Les estimations proposées peuvent être corrigées par le porteur de projet, en fonction des données propres dont il dispose. </w:t>
      </w:r>
    </w:p>
    <w:p w:rsidR="003E2F23" w:rsidRDefault="003E2F23" w:rsidP="00FA301A">
      <w:pPr>
        <w:rPr>
          <w:lang w:val="fr-BE"/>
        </w:rPr>
      </w:pPr>
    </w:p>
    <w:p w:rsidR="003E2F23" w:rsidRDefault="003E2F23" w:rsidP="00E504CA">
      <w:pPr>
        <w:pStyle w:val="Titre3"/>
        <w:numPr>
          <w:ilvl w:val="1"/>
          <w:numId w:val="4"/>
        </w:numPr>
        <w:rPr>
          <w:lang w:val="fr-BE"/>
        </w:rPr>
      </w:pPr>
      <w:r>
        <w:rPr>
          <w:lang w:val="fr-BE"/>
        </w:rPr>
        <w:t>Hypothèses techniques</w:t>
      </w:r>
      <w:r w:rsidR="001B4E24">
        <w:rPr>
          <w:lang w:val="fr-BE"/>
        </w:rPr>
        <w:t xml:space="preserve"> et financières</w:t>
      </w:r>
    </w:p>
    <w:p w:rsidR="003E2F23" w:rsidRDefault="003E2F23" w:rsidP="003E2F23">
      <w:pPr>
        <w:rPr>
          <w:lang w:val="fr-BE"/>
        </w:rPr>
      </w:pPr>
    </w:p>
    <w:p w:rsidR="003E2F23" w:rsidRDefault="003E2F23" w:rsidP="003E2F23">
      <w:pPr>
        <w:rPr>
          <w:lang w:val="fr-BE"/>
        </w:rPr>
      </w:pPr>
      <w:r>
        <w:rPr>
          <w:lang w:val="fr-BE"/>
        </w:rPr>
        <w:t>Les hypothèses suivantes sont nécessaires :</w:t>
      </w:r>
    </w:p>
    <w:p w:rsidR="003E2F23" w:rsidRDefault="003E2F23" w:rsidP="003E2F23">
      <w:pPr>
        <w:pStyle w:val="Paragraphedeliste"/>
        <w:numPr>
          <w:ilvl w:val="0"/>
          <w:numId w:val="2"/>
        </w:numPr>
        <w:rPr>
          <w:lang w:val="fr-BE"/>
        </w:rPr>
      </w:pPr>
      <w:r>
        <w:rPr>
          <w:lang w:val="fr-BE"/>
        </w:rPr>
        <w:t>Les puissances installées, ainsi que les rendements et le nombre d’heures de fonctionnement annuel, soit une estimation de la production d’électricité et de chaleur</w:t>
      </w:r>
    </w:p>
    <w:p w:rsidR="003E2F23" w:rsidRDefault="003E2F23" w:rsidP="003E2F23">
      <w:pPr>
        <w:pStyle w:val="Paragraphedeliste"/>
        <w:numPr>
          <w:ilvl w:val="0"/>
          <w:numId w:val="2"/>
        </w:numPr>
        <w:rPr>
          <w:lang w:val="fr-BE"/>
        </w:rPr>
      </w:pPr>
      <w:r>
        <w:rPr>
          <w:lang w:val="fr-BE"/>
        </w:rPr>
        <w:t>La quantité de chaleur vendue, dans le cas d’un réseau</w:t>
      </w:r>
    </w:p>
    <w:p w:rsidR="00101D52" w:rsidRDefault="00101D52" w:rsidP="003E2F23">
      <w:pPr>
        <w:pStyle w:val="Paragraphedeliste"/>
        <w:numPr>
          <w:ilvl w:val="0"/>
          <w:numId w:val="2"/>
        </w:numPr>
        <w:rPr>
          <w:lang w:val="fr-BE"/>
        </w:rPr>
      </w:pPr>
      <w:r>
        <w:rPr>
          <w:lang w:val="fr-BE"/>
        </w:rPr>
        <w:t>Les coûts d’investissement, ainsi que leur étalement dans le temps. Le modèle prévoit un étalement possible de 5 ans maximum.  De ces coûts seront déduites les aides  à l’investissement reçues.</w:t>
      </w:r>
    </w:p>
    <w:p w:rsidR="00101D52" w:rsidRDefault="00101D52" w:rsidP="003E2F23">
      <w:pPr>
        <w:pStyle w:val="Paragraphedeliste"/>
        <w:numPr>
          <w:ilvl w:val="0"/>
          <w:numId w:val="2"/>
        </w:numPr>
        <w:rPr>
          <w:lang w:val="fr-BE"/>
        </w:rPr>
      </w:pPr>
      <w:r>
        <w:rPr>
          <w:lang w:val="fr-BE"/>
        </w:rPr>
        <w:t>La durée d’amortissement  (nécessaire pour calculer l’économie fiscale sur amortissement)</w:t>
      </w:r>
    </w:p>
    <w:p w:rsidR="00101D52" w:rsidRDefault="00101D52" w:rsidP="003E2F23">
      <w:pPr>
        <w:pStyle w:val="Paragraphedeliste"/>
        <w:numPr>
          <w:ilvl w:val="0"/>
          <w:numId w:val="2"/>
        </w:numPr>
        <w:rPr>
          <w:lang w:val="fr-BE"/>
        </w:rPr>
      </w:pPr>
      <w:r>
        <w:rPr>
          <w:lang w:val="fr-BE"/>
        </w:rPr>
        <w:t xml:space="preserve">Les éventuelles remises en état, en cours de projet. Le modèle permet d’en intégrer deux. </w:t>
      </w:r>
    </w:p>
    <w:p w:rsidR="00101D52" w:rsidRDefault="00101D52" w:rsidP="003E2F23">
      <w:pPr>
        <w:pStyle w:val="Paragraphedeliste"/>
        <w:numPr>
          <w:ilvl w:val="0"/>
          <w:numId w:val="2"/>
        </w:numPr>
        <w:rPr>
          <w:lang w:val="fr-BE"/>
        </w:rPr>
      </w:pPr>
      <w:r>
        <w:rPr>
          <w:lang w:val="fr-BE"/>
        </w:rPr>
        <w:t>Les coûts opérationnels de l’installation, ainsi que les coûts des intrants</w:t>
      </w:r>
    </w:p>
    <w:p w:rsidR="00101D52" w:rsidRDefault="00101D52" w:rsidP="003E2F23">
      <w:pPr>
        <w:pStyle w:val="Paragraphedeliste"/>
        <w:numPr>
          <w:ilvl w:val="0"/>
          <w:numId w:val="2"/>
        </w:numPr>
        <w:rPr>
          <w:lang w:val="fr-BE"/>
        </w:rPr>
      </w:pPr>
      <w:r>
        <w:rPr>
          <w:lang w:val="fr-BE"/>
        </w:rPr>
        <w:t>Le nombre d’années de disponibilité des CV, ainsi que l’éventuel coefficient multiplicateur (</w:t>
      </w:r>
      <w:proofErr w:type="spellStart"/>
      <w:r>
        <w:rPr>
          <w:lang w:val="fr-BE"/>
        </w:rPr>
        <w:t>keco</w:t>
      </w:r>
      <w:proofErr w:type="spellEnd"/>
      <w:r>
        <w:rPr>
          <w:lang w:val="fr-BE"/>
        </w:rPr>
        <w:t>)</w:t>
      </w:r>
    </w:p>
    <w:p w:rsidR="00F529D1" w:rsidRDefault="00F529D1" w:rsidP="00E504CA">
      <w:pPr>
        <w:pStyle w:val="Titre3"/>
        <w:numPr>
          <w:ilvl w:val="1"/>
          <w:numId w:val="4"/>
        </w:numPr>
      </w:pPr>
      <w:r>
        <w:t>Actualisation</w:t>
      </w:r>
    </w:p>
    <w:p w:rsidR="00F529D1" w:rsidRDefault="00F529D1" w:rsidP="00F529D1">
      <w:pPr>
        <w:autoSpaceDE w:val="0"/>
        <w:autoSpaceDN w:val="0"/>
        <w:adjustRightInd w:val="0"/>
        <w:spacing w:after="0" w:line="240" w:lineRule="auto"/>
      </w:pPr>
    </w:p>
    <w:p w:rsidR="00F529D1" w:rsidRPr="00F529D1" w:rsidRDefault="00F529D1" w:rsidP="00F529D1">
      <w:pPr>
        <w:autoSpaceDE w:val="0"/>
        <w:autoSpaceDN w:val="0"/>
        <w:adjustRightInd w:val="0"/>
        <w:spacing w:after="0" w:line="240" w:lineRule="auto"/>
        <w:rPr>
          <w:lang w:val="fr-BE"/>
        </w:rPr>
      </w:pPr>
      <w:r w:rsidRPr="00F529D1">
        <w:rPr>
          <w:lang w:val="fr-BE"/>
        </w:rPr>
        <w:lastRenderedPageBreak/>
        <w:t xml:space="preserve">Les flux de trésorerie sont actualisés au moyen d’un taux d’actualisation, défini comme le coût moyen pondéré du capital. </w:t>
      </w:r>
    </w:p>
    <w:p w:rsidR="00F529D1" w:rsidRPr="00F529D1" w:rsidRDefault="00F529D1" w:rsidP="00F529D1">
      <w:pPr>
        <w:autoSpaceDE w:val="0"/>
        <w:autoSpaceDN w:val="0"/>
        <w:adjustRightInd w:val="0"/>
        <w:spacing w:after="0" w:line="240" w:lineRule="auto"/>
        <w:rPr>
          <w:lang w:val="fr-BE"/>
        </w:rPr>
      </w:pPr>
    </w:p>
    <w:p w:rsidR="00F529D1" w:rsidRPr="00F529D1" w:rsidRDefault="00F529D1" w:rsidP="00F529D1">
      <w:pPr>
        <w:shd w:val="clear" w:color="auto" w:fill="FFFFFF"/>
        <w:spacing w:line="300" w:lineRule="atLeast"/>
        <w:rPr>
          <w:lang w:val="fr-BE"/>
        </w:rPr>
      </w:pPr>
      <w:r w:rsidRPr="00F529D1">
        <w:rPr>
          <w:lang w:val="fr-BE"/>
        </w:rPr>
        <w:t>Le coût moyen pondéré du capital (ou WACC) post-</w:t>
      </w:r>
      <w:proofErr w:type="spellStart"/>
      <w:r w:rsidRPr="00F529D1">
        <w:rPr>
          <w:lang w:val="fr-BE"/>
        </w:rPr>
        <w:t>tax</w:t>
      </w:r>
      <w:proofErr w:type="spellEnd"/>
      <w:r w:rsidRPr="00F529D1">
        <w:rPr>
          <w:lang w:val="fr-BE"/>
        </w:rPr>
        <w:t xml:space="preserve">  se formule de la manière suivante : </w:t>
      </w:r>
    </w:p>
    <w:p w:rsidR="00F529D1" w:rsidRPr="00F529D1" w:rsidRDefault="00F529D1" w:rsidP="00F529D1">
      <w:pPr>
        <w:shd w:val="clear" w:color="auto" w:fill="FFFFFF"/>
        <w:spacing w:line="300" w:lineRule="atLeast"/>
        <w:rPr>
          <w:lang w:val="fr-BE"/>
        </w:rPr>
      </w:pPr>
      <w:r w:rsidRPr="00F529D1">
        <w:rPr>
          <w:lang w:val="fr-BE"/>
        </w:rPr>
        <w:t xml:space="preserve">WACC = g*i*(1-t) </w:t>
      </w:r>
      <w:proofErr w:type="gramStart"/>
      <w:r w:rsidRPr="00F529D1">
        <w:rPr>
          <w:lang w:val="fr-BE"/>
        </w:rPr>
        <w:t>+(</w:t>
      </w:r>
      <w:proofErr w:type="gramEnd"/>
      <w:r w:rsidRPr="00F529D1">
        <w:rPr>
          <w:lang w:val="fr-BE"/>
        </w:rPr>
        <w:t>1-g)*r</w:t>
      </w:r>
    </w:p>
    <w:p w:rsidR="00F529D1" w:rsidRPr="00F529D1" w:rsidRDefault="00F529D1" w:rsidP="00F529D1">
      <w:pPr>
        <w:spacing w:after="0"/>
        <w:rPr>
          <w:sz w:val="18"/>
          <w:szCs w:val="18"/>
          <w:lang w:val="fr-BE"/>
        </w:rPr>
      </w:pPr>
      <w:r w:rsidRPr="00F529D1">
        <w:rPr>
          <w:sz w:val="18"/>
          <w:szCs w:val="18"/>
          <w:lang w:val="fr-BE"/>
        </w:rPr>
        <w:t xml:space="preserve">Où </w:t>
      </w:r>
    </w:p>
    <w:p w:rsidR="00F529D1" w:rsidRPr="00F529D1" w:rsidRDefault="00F529D1" w:rsidP="00F529D1">
      <w:pPr>
        <w:spacing w:after="0"/>
        <w:rPr>
          <w:sz w:val="18"/>
          <w:szCs w:val="18"/>
          <w:lang w:val="fr-BE"/>
        </w:rPr>
      </w:pPr>
      <w:r w:rsidRPr="00F529D1">
        <w:rPr>
          <w:sz w:val="18"/>
          <w:szCs w:val="18"/>
          <w:lang w:val="fr-BE"/>
        </w:rPr>
        <w:t>g = poids des dettes, et donc 1-g= poids des fonds propres</w:t>
      </w:r>
    </w:p>
    <w:p w:rsidR="00F529D1" w:rsidRPr="00F529D1" w:rsidRDefault="00F529D1" w:rsidP="00F529D1">
      <w:pPr>
        <w:spacing w:after="0"/>
        <w:rPr>
          <w:sz w:val="18"/>
          <w:szCs w:val="18"/>
          <w:lang w:val="fr-BE"/>
        </w:rPr>
      </w:pPr>
      <w:proofErr w:type="gramStart"/>
      <w:r w:rsidRPr="00F529D1">
        <w:rPr>
          <w:sz w:val="18"/>
          <w:szCs w:val="18"/>
          <w:lang w:val="fr-BE"/>
        </w:rPr>
        <w:t>i</w:t>
      </w:r>
      <w:proofErr w:type="gramEnd"/>
      <w:r w:rsidRPr="00F529D1">
        <w:rPr>
          <w:sz w:val="18"/>
          <w:szCs w:val="18"/>
          <w:lang w:val="fr-BE"/>
        </w:rPr>
        <w:t>= taux d’emprunt</w:t>
      </w:r>
    </w:p>
    <w:p w:rsidR="00F529D1" w:rsidRPr="00F529D1" w:rsidRDefault="00F529D1" w:rsidP="00F529D1">
      <w:pPr>
        <w:shd w:val="clear" w:color="auto" w:fill="FFFFFF"/>
        <w:spacing w:after="0" w:line="300" w:lineRule="atLeast"/>
        <w:rPr>
          <w:sz w:val="18"/>
          <w:szCs w:val="18"/>
          <w:lang w:val="fr-BE"/>
        </w:rPr>
      </w:pPr>
      <w:r w:rsidRPr="00F529D1">
        <w:rPr>
          <w:lang w:val="fr-BE"/>
        </w:rPr>
        <w:t>r</w:t>
      </w:r>
      <w:r w:rsidRPr="00F529D1">
        <w:rPr>
          <w:sz w:val="18"/>
          <w:szCs w:val="18"/>
          <w:lang w:val="fr-BE"/>
        </w:rPr>
        <w:t>= return espéré des actionnaires</w:t>
      </w:r>
    </w:p>
    <w:p w:rsidR="00F529D1" w:rsidRPr="00F529D1" w:rsidRDefault="00F529D1" w:rsidP="00F529D1">
      <w:pPr>
        <w:shd w:val="clear" w:color="auto" w:fill="FFFFFF"/>
        <w:spacing w:after="0" w:line="300" w:lineRule="atLeast"/>
        <w:rPr>
          <w:sz w:val="18"/>
          <w:szCs w:val="18"/>
          <w:lang w:val="fr-BE"/>
        </w:rPr>
      </w:pPr>
      <w:proofErr w:type="gramStart"/>
      <w:r w:rsidRPr="00F529D1">
        <w:rPr>
          <w:sz w:val="18"/>
          <w:szCs w:val="18"/>
          <w:lang w:val="fr-BE"/>
        </w:rPr>
        <w:t>t</w:t>
      </w:r>
      <w:proofErr w:type="gramEnd"/>
      <w:r w:rsidRPr="00F529D1">
        <w:rPr>
          <w:sz w:val="18"/>
          <w:szCs w:val="18"/>
          <w:lang w:val="fr-BE"/>
        </w:rPr>
        <w:t>= taux imposition</w:t>
      </w:r>
    </w:p>
    <w:p w:rsidR="00F529D1" w:rsidRPr="00F529D1" w:rsidRDefault="00F529D1" w:rsidP="00F529D1">
      <w:pPr>
        <w:shd w:val="clear" w:color="auto" w:fill="FFFFFF"/>
        <w:spacing w:after="0" w:line="300" w:lineRule="atLeast"/>
        <w:rPr>
          <w:sz w:val="18"/>
          <w:szCs w:val="18"/>
          <w:lang w:val="fr-BE"/>
        </w:rPr>
      </w:pPr>
    </w:p>
    <w:p w:rsidR="00F529D1" w:rsidRPr="00F529D1" w:rsidRDefault="00F529D1" w:rsidP="00F529D1">
      <w:pPr>
        <w:shd w:val="clear" w:color="auto" w:fill="FFFFFF"/>
        <w:spacing w:after="0" w:line="300" w:lineRule="atLeast"/>
        <w:rPr>
          <w:sz w:val="18"/>
          <w:szCs w:val="18"/>
          <w:lang w:val="fr-BE"/>
        </w:rPr>
      </w:pPr>
    </w:p>
    <w:p w:rsidR="00F529D1" w:rsidRPr="00F529D1" w:rsidRDefault="00F529D1" w:rsidP="00F529D1">
      <w:pPr>
        <w:rPr>
          <w:lang w:val="fr-BE"/>
        </w:rPr>
      </w:pPr>
      <w:r w:rsidRPr="00F529D1">
        <w:rPr>
          <w:lang w:val="fr-BE"/>
        </w:rPr>
        <w:t xml:space="preserve">Le coût des fonds propres (r)  sera constitué de  2 composantes : </w:t>
      </w:r>
    </w:p>
    <w:p w:rsidR="00F529D1" w:rsidRDefault="00F529D1" w:rsidP="00F529D1">
      <w:pPr>
        <w:numPr>
          <w:ilvl w:val="0"/>
          <w:numId w:val="3"/>
        </w:numPr>
      </w:pPr>
      <w:proofErr w:type="spellStart"/>
      <w:r>
        <w:t>Taux</w:t>
      </w:r>
      <w:proofErr w:type="spellEnd"/>
      <w:r>
        <w:t xml:space="preserve"> de </w:t>
      </w:r>
      <w:proofErr w:type="spellStart"/>
      <w:r>
        <w:t>rentabilité</w:t>
      </w:r>
      <w:proofErr w:type="spellEnd"/>
      <w:r>
        <w:t xml:space="preserve"> sans </w:t>
      </w:r>
      <w:proofErr w:type="spellStart"/>
      <w:r>
        <w:t>risque</w:t>
      </w:r>
      <w:proofErr w:type="spellEnd"/>
    </w:p>
    <w:p w:rsidR="00F529D1" w:rsidRPr="00F529D1" w:rsidRDefault="00F529D1" w:rsidP="00F529D1">
      <w:pPr>
        <w:numPr>
          <w:ilvl w:val="0"/>
          <w:numId w:val="3"/>
        </w:numPr>
        <w:rPr>
          <w:lang w:val="fr-BE"/>
        </w:rPr>
      </w:pPr>
      <w:r w:rsidRPr="00F529D1">
        <w:rPr>
          <w:lang w:val="fr-BE"/>
        </w:rPr>
        <w:t>Prime de risque lié au projet</w:t>
      </w:r>
    </w:p>
    <w:p w:rsidR="00F529D1" w:rsidRPr="00F529D1" w:rsidRDefault="00F529D1" w:rsidP="00F529D1">
      <w:pPr>
        <w:rPr>
          <w:lang w:val="fr-BE"/>
        </w:rPr>
      </w:pPr>
      <w:proofErr w:type="gramStart"/>
      <w:r w:rsidRPr="00F529D1">
        <w:rPr>
          <w:lang w:val="fr-BE"/>
        </w:rPr>
        <w:t>r</w:t>
      </w:r>
      <w:proofErr w:type="gramEnd"/>
      <w:r w:rsidRPr="00F529D1">
        <w:rPr>
          <w:lang w:val="fr-BE"/>
        </w:rPr>
        <w:t xml:space="preserve">= </w:t>
      </w:r>
      <w:proofErr w:type="spellStart"/>
      <w:r w:rsidRPr="00F529D1">
        <w:rPr>
          <w:lang w:val="fr-BE"/>
        </w:rPr>
        <w:t>rf</w:t>
      </w:r>
      <w:proofErr w:type="spellEnd"/>
      <w:r w:rsidRPr="00F529D1">
        <w:rPr>
          <w:lang w:val="fr-BE"/>
        </w:rPr>
        <w:t>*+</w:t>
      </w:r>
      <w:r>
        <w:rPr>
          <w:rFonts w:ascii="Verdana" w:hAnsi="Verdana"/>
        </w:rPr>
        <w:t>β</w:t>
      </w:r>
      <w:r w:rsidRPr="00F529D1">
        <w:rPr>
          <w:lang w:val="fr-BE"/>
        </w:rPr>
        <w:t xml:space="preserve"> (</w:t>
      </w:r>
      <w:proofErr w:type="spellStart"/>
      <w:r w:rsidRPr="00F529D1">
        <w:rPr>
          <w:lang w:val="fr-BE"/>
        </w:rPr>
        <w:t>rm</w:t>
      </w:r>
      <w:proofErr w:type="spellEnd"/>
      <w:r w:rsidRPr="00F529D1">
        <w:rPr>
          <w:lang w:val="fr-BE"/>
        </w:rPr>
        <w:t>-</w:t>
      </w:r>
      <w:proofErr w:type="spellStart"/>
      <w:r w:rsidRPr="00F529D1">
        <w:rPr>
          <w:lang w:val="fr-BE"/>
        </w:rPr>
        <w:t>rf</w:t>
      </w:r>
      <w:proofErr w:type="spellEnd"/>
      <w:r w:rsidRPr="00F529D1">
        <w:rPr>
          <w:lang w:val="fr-BE"/>
        </w:rPr>
        <w:t>)</w:t>
      </w:r>
    </w:p>
    <w:p w:rsidR="00F529D1" w:rsidRPr="00F529D1" w:rsidRDefault="00F529D1" w:rsidP="00F529D1">
      <w:pPr>
        <w:rPr>
          <w:lang w:val="fr-BE"/>
        </w:rPr>
      </w:pPr>
    </w:p>
    <w:p w:rsidR="00F529D1" w:rsidRPr="00F529D1" w:rsidRDefault="00F529D1" w:rsidP="00F529D1">
      <w:pPr>
        <w:spacing w:after="0"/>
        <w:rPr>
          <w:sz w:val="18"/>
          <w:szCs w:val="18"/>
          <w:lang w:val="fr-BE"/>
        </w:rPr>
      </w:pPr>
      <w:r w:rsidRPr="00F529D1">
        <w:rPr>
          <w:sz w:val="18"/>
          <w:szCs w:val="18"/>
          <w:lang w:val="fr-BE"/>
        </w:rPr>
        <w:t xml:space="preserve">Où </w:t>
      </w:r>
    </w:p>
    <w:p w:rsidR="00F529D1" w:rsidRPr="00F529D1" w:rsidRDefault="00F529D1" w:rsidP="00F529D1">
      <w:pPr>
        <w:spacing w:after="0"/>
        <w:rPr>
          <w:sz w:val="18"/>
          <w:szCs w:val="18"/>
          <w:lang w:val="fr-BE"/>
        </w:rPr>
      </w:pPr>
      <w:proofErr w:type="spellStart"/>
      <w:r w:rsidRPr="00F529D1">
        <w:rPr>
          <w:sz w:val="18"/>
          <w:szCs w:val="18"/>
          <w:lang w:val="fr-BE"/>
        </w:rPr>
        <w:t>Rf</w:t>
      </w:r>
      <w:proofErr w:type="spellEnd"/>
      <w:r w:rsidRPr="00F529D1">
        <w:rPr>
          <w:sz w:val="18"/>
          <w:szCs w:val="18"/>
          <w:lang w:val="fr-BE"/>
        </w:rPr>
        <w:t>= taux de rentabilité sans risque (taux OLO)</w:t>
      </w:r>
    </w:p>
    <w:p w:rsidR="00F529D1" w:rsidRPr="00F529D1" w:rsidRDefault="00F529D1" w:rsidP="00F529D1">
      <w:pPr>
        <w:spacing w:after="0"/>
        <w:rPr>
          <w:sz w:val="18"/>
          <w:szCs w:val="18"/>
          <w:lang w:val="fr-BE"/>
        </w:rPr>
      </w:pPr>
      <w:proofErr w:type="spellStart"/>
      <w:r w:rsidRPr="00F529D1">
        <w:rPr>
          <w:sz w:val="18"/>
          <w:szCs w:val="18"/>
          <w:lang w:val="fr-BE"/>
        </w:rPr>
        <w:t>Rm</w:t>
      </w:r>
      <w:proofErr w:type="spellEnd"/>
      <w:r w:rsidRPr="00F529D1">
        <w:rPr>
          <w:sz w:val="18"/>
          <w:szCs w:val="18"/>
          <w:lang w:val="fr-BE"/>
        </w:rPr>
        <w:t>= rentabilité espérée du marché financier (indice boursier)</w:t>
      </w:r>
    </w:p>
    <w:p w:rsidR="00F529D1" w:rsidRPr="00F529D1" w:rsidRDefault="00F529D1" w:rsidP="00F529D1">
      <w:pPr>
        <w:spacing w:after="0"/>
        <w:rPr>
          <w:sz w:val="18"/>
          <w:szCs w:val="18"/>
          <w:lang w:val="fr-BE"/>
        </w:rPr>
      </w:pPr>
      <w:r>
        <w:rPr>
          <w:rFonts w:ascii="Verdana" w:hAnsi="Verdana"/>
        </w:rPr>
        <w:t>β</w:t>
      </w:r>
      <w:r w:rsidRPr="00F529D1">
        <w:rPr>
          <w:sz w:val="18"/>
          <w:szCs w:val="18"/>
          <w:lang w:val="fr-BE"/>
        </w:rPr>
        <w:t xml:space="preserve"> = mesure du risque de la société par rapport au marché</w:t>
      </w:r>
    </w:p>
    <w:p w:rsidR="00F529D1" w:rsidRPr="00F529D1" w:rsidRDefault="00F529D1" w:rsidP="00F529D1">
      <w:pPr>
        <w:spacing w:after="0"/>
        <w:rPr>
          <w:sz w:val="18"/>
          <w:szCs w:val="18"/>
          <w:lang w:val="fr-BE"/>
        </w:rPr>
      </w:pPr>
    </w:p>
    <w:p w:rsidR="00F529D1" w:rsidRPr="00F529D1" w:rsidRDefault="00F529D1" w:rsidP="00F529D1">
      <w:pPr>
        <w:spacing w:after="0"/>
        <w:rPr>
          <w:lang w:val="fr-BE"/>
        </w:rPr>
      </w:pPr>
      <w:r w:rsidRPr="00F529D1">
        <w:rPr>
          <w:lang w:val="fr-BE"/>
        </w:rPr>
        <w:t xml:space="preserve">Si applicable, l’investisseur prendra en compte dans son coût des fonds propres l’impact  fiscal des intérêts notionnels sur le coût des fonds propres. </w:t>
      </w:r>
    </w:p>
    <w:p w:rsidR="00F529D1" w:rsidRPr="00F529D1" w:rsidRDefault="00F529D1" w:rsidP="00F529D1">
      <w:pPr>
        <w:spacing w:after="0"/>
        <w:rPr>
          <w:lang w:val="fr-BE"/>
        </w:rPr>
      </w:pPr>
    </w:p>
    <w:p w:rsidR="00F529D1" w:rsidRPr="00F529D1" w:rsidRDefault="00F529D1" w:rsidP="00F529D1">
      <w:pPr>
        <w:rPr>
          <w:lang w:val="fr-BE"/>
        </w:rPr>
      </w:pPr>
      <w:r w:rsidRPr="00F529D1">
        <w:rPr>
          <w:lang w:val="fr-BE"/>
        </w:rPr>
        <w:t>L’investisseur démontrera comment il arrive au taux d’actualisation choisi pour les scénarii.</w:t>
      </w:r>
    </w:p>
    <w:p w:rsidR="00FA301A" w:rsidRDefault="00FA301A" w:rsidP="00FA301A">
      <w:pPr>
        <w:rPr>
          <w:lang w:val="fr-BE"/>
        </w:rPr>
      </w:pPr>
    </w:p>
    <w:p w:rsidR="00FA301A" w:rsidRDefault="000F09C5" w:rsidP="00E504CA">
      <w:pPr>
        <w:pStyle w:val="Titre2"/>
        <w:numPr>
          <w:ilvl w:val="0"/>
          <w:numId w:val="4"/>
        </w:numPr>
        <w:rPr>
          <w:lang w:val="fr-BE"/>
        </w:rPr>
      </w:pPr>
      <w:r>
        <w:rPr>
          <w:lang w:val="fr-BE"/>
        </w:rPr>
        <w:t>Calcul</w:t>
      </w:r>
    </w:p>
    <w:p w:rsidR="000F09C5" w:rsidRDefault="000F09C5" w:rsidP="00FA301A">
      <w:pPr>
        <w:rPr>
          <w:lang w:val="fr-BE"/>
        </w:rPr>
      </w:pPr>
    </w:p>
    <w:p w:rsidR="009A10AB" w:rsidRDefault="009A10AB" w:rsidP="00FA301A">
      <w:pPr>
        <w:rPr>
          <w:lang w:val="fr-BE"/>
        </w:rPr>
      </w:pPr>
      <w:r>
        <w:rPr>
          <w:lang w:val="fr-BE"/>
        </w:rPr>
        <w:t xml:space="preserve">Les feuilles de calcul sont au nombre de deux : une pour l’installation initiale envisagée, une pour l’installation à laquelle comparer. </w:t>
      </w:r>
    </w:p>
    <w:p w:rsidR="009A10AB" w:rsidRDefault="009A10AB" w:rsidP="00FA301A">
      <w:pPr>
        <w:rPr>
          <w:lang w:val="fr-BE"/>
        </w:rPr>
      </w:pPr>
      <w:r>
        <w:rPr>
          <w:lang w:val="fr-BE"/>
        </w:rPr>
        <w:t>Ces feuilles de calcul permettent de déterminer</w:t>
      </w:r>
      <w:r w:rsidR="00743118">
        <w:rPr>
          <w:lang w:val="fr-BE"/>
        </w:rPr>
        <w:t xml:space="preserve"> le cash flow libre (free cash flow)</w:t>
      </w:r>
      <w:r>
        <w:rPr>
          <w:lang w:val="fr-BE"/>
        </w:rPr>
        <w:t xml:space="preserve"> : </w:t>
      </w:r>
    </w:p>
    <w:p w:rsidR="00743118" w:rsidRDefault="009A10AB" w:rsidP="00743118">
      <w:pPr>
        <w:pStyle w:val="Paragraphedeliste"/>
        <w:numPr>
          <w:ilvl w:val="0"/>
          <w:numId w:val="2"/>
        </w:numPr>
        <w:rPr>
          <w:lang w:val="fr-BE"/>
        </w:rPr>
      </w:pPr>
      <w:r>
        <w:rPr>
          <w:lang w:val="fr-BE"/>
        </w:rPr>
        <w:t xml:space="preserve">Les </w:t>
      </w:r>
      <w:r w:rsidR="00743118">
        <w:rPr>
          <w:lang w:val="fr-BE"/>
        </w:rPr>
        <w:t xml:space="preserve">gains réalisés en termes </w:t>
      </w:r>
      <w:proofErr w:type="gramStart"/>
      <w:r w:rsidR="00743118">
        <w:rPr>
          <w:lang w:val="fr-BE"/>
        </w:rPr>
        <w:t>d’ é</w:t>
      </w:r>
      <w:r w:rsidR="00743118" w:rsidRPr="00743118">
        <w:rPr>
          <w:lang w:val="fr-BE"/>
        </w:rPr>
        <w:t>lectricité</w:t>
      </w:r>
      <w:proofErr w:type="gramEnd"/>
      <w:r w:rsidR="00743118" w:rsidRPr="00743118">
        <w:rPr>
          <w:lang w:val="fr-BE"/>
        </w:rPr>
        <w:t xml:space="preserve"> </w:t>
      </w:r>
      <w:r w:rsidR="00743118">
        <w:rPr>
          <w:lang w:val="fr-BE"/>
        </w:rPr>
        <w:t>économisée et revendue, d’économie de chaleur et de chaleur revendue, d’aide à la production ( certificats verts)</w:t>
      </w:r>
      <w:r w:rsidR="007304C5">
        <w:rPr>
          <w:rStyle w:val="Appelnotedebasdep"/>
          <w:lang w:val="fr-BE"/>
        </w:rPr>
        <w:footnoteReference w:id="3"/>
      </w:r>
    </w:p>
    <w:p w:rsidR="00743118" w:rsidRDefault="00743118" w:rsidP="002908D5">
      <w:pPr>
        <w:pStyle w:val="Paragraphedeliste"/>
        <w:numPr>
          <w:ilvl w:val="0"/>
          <w:numId w:val="2"/>
        </w:numPr>
        <w:rPr>
          <w:lang w:val="fr-BE"/>
        </w:rPr>
      </w:pPr>
      <w:r>
        <w:rPr>
          <w:lang w:val="fr-BE"/>
        </w:rPr>
        <w:lastRenderedPageBreak/>
        <w:t>Les coûts opérationnels liés au projet, tels que </w:t>
      </w:r>
      <w:r w:rsidR="002908D5">
        <w:rPr>
          <w:lang w:val="fr-BE"/>
        </w:rPr>
        <w:t xml:space="preserve"> les c</w:t>
      </w:r>
      <w:r w:rsidRPr="00743118">
        <w:rPr>
          <w:lang w:val="fr-BE"/>
        </w:rPr>
        <w:t xml:space="preserve">oûts de fonctionnement </w:t>
      </w:r>
      <w:r w:rsidR="002908D5">
        <w:rPr>
          <w:lang w:val="fr-BE"/>
        </w:rPr>
        <w:t xml:space="preserve">des installations, le coût des combustibles et le coût du réseau électrique </w:t>
      </w:r>
    </w:p>
    <w:p w:rsidR="002908D5" w:rsidRDefault="002908D5" w:rsidP="002908D5">
      <w:pPr>
        <w:pStyle w:val="Paragraphedeliste"/>
        <w:numPr>
          <w:ilvl w:val="0"/>
          <w:numId w:val="2"/>
        </w:numPr>
        <w:rPr>
          <w:lang w:val="fr-BE"/>
        </w:rPr>
      </w:pPr>
      <w:r>
        <w:rPr>
          <w:lang w:val="fr-BE"/>
        </w:rPr>
        <w:t>L’impôt payé (tenant compte de l’économie fiscale engendrée par les amortissements)</w:t>
      </w:r>
    </w:p>
    <w:p w:rsidR="002908D5" w:rsidRDefault="002908D5" w:rsidP="002908D5">
      <w:pPr>
        <w:pStyle w:val="Paragraphedeliste"/>
        <w:numPr>
          <w:ilvl w:val="0"/>
          <w:numId w:val="2"/>
        </w:numPr>
        <w:rPr>
          <w:lang w:val="fr-BE"/>
        </w:rPr>
      </w:pPr>
      <w:r>
        <w:rPr>
          <w:lang w:val="fr-BE"/>
        </w:rPr>
        <w:t>Les investissements réalisés en début et cours de projet</w:t>
      </w:r>
    </w:p>
    <w:p w:rsidR="002908D5" w:rsidRDefault="002908D5" w:rsidP="002908D5">
      <w:pPr>
        <w:pStyle w:val="Paragraphedeliste"/>
        <w:numPr>
          <w:ilvl w:val="0"/>
          <w:numId w:val="2"/>
        </w:numPr>
        <w:rPr>
          <w:lang w:val="fr-BE"/>
        </w:rPr>
      </w:pPr>
      <w:r>
        <w:rPr>
          <w:lang w:val="fr-BE"/>
        </w:rPr>
        <w:t>Une éventuelle valeur résiduelle</w:t>
      </w:r>
    </w:p>
    <w:p w:rsidR="002908D5" w:rsidRDefault="00FB4243" w:rsidP="00FB4243">
      <w:pPr>
        <w:ind w:left="360"/>
        <w:rPr>
          <w:lang w:val="fr-BE"/>
        </w:rPr>
      </w:pPr>
      <w:r>
        <w:rPr>
          <w:lang w:val="fr-BE"/>
        </w:rPr>
        <w:t xml:space="preserve">La somme de ces éléments, appelé Cash flow libre, est ensuite actualisée. </w:t>
      </w:r>
    </w:p>
    <w:p w:rsidR="00FB4243" w:rsidRDefault="00FB4243" w:rsidP="00FB4243">
      <w:pPr>
        <w:ind w:left="360"/>
        <w:rPr>
          <w:lang w:val="fr-BE"/>
        </w:rPr>
      </w:pPr>
      <w:r>
        <w:rPr>
          <w:lang w:val="fr-BE"/>
        </w:rPr>
        <w:t xml:space="preserve">Le cumul des cash flow libres actualisés donnent la valeur actualisée nette du projet. </w:t>
      </w:r>
    </w:p>
    <w:p w:rsidR="00FB4243" w:rsidRDefault="00FB4243" w:rsidP="00FB4243">
      <w:pPr>
        <w:ind w:left="360"/>
        <w:rPr>
          <w:lang w:val="fr-BE"/>
        </w:rPr>
      </w:pPr>
      <w:r>
        <w:rPr>
          <w:lang w:val="fr-BE"/>
        </w:rPr>
        <w:t xml:space="preserve">Le taux de rentabilité interne est également calculé dans le modèle. </w:t>
      </w:r>
    </w:p>
    <w:p w:rsidR="00702F33" w:rsidRPr="00702F33" w:rsidRDefault="00702F33" w:rsidP="00E504CA">
      <w:pPr>
        <w:pStyle w:val="Titre2"/>
        <w:numPr>
          <w:ilvl w:val="0"/>
          <w:numId w:val="4"/>
        </w:numPr>
        <w:rPr>
          <w:lang w:val="fr-BE"/>
        </w:rPr>
      </w:pPr>
      <w:r w:rsidRPr="00702F33">
        <w:rPr>
          <w:lang w:val="fr-BE"/>
        </w:rPr>
        <w:t>Critère d’évaluation</w:t>
      </w:r>
    </w:p>
    <w:p w:rsidR="00702F33" w:rsidRPr="00702F33" w:rsidRDefault="00702F33" w:rsidP="00702F33">
      <w:pPr>
        <w:autoSpaceDE w:val="0"/>
        <w:autoSpaceDN w:val="0"/>
        <w:adjustRightInd w:val="0"/>
        <w:spacing w:after="0" w:line="240" w:lineRule="auto"/>
        <w:rPr>
          <w:lang w:val="fr-BE"/>
        </w:rPr>
      </w:pPr>
    </w:p>
    <w:p w:rsidR="00702F33" w:rsidRPr="00702F33" w:rsidRDefault="00702F33" w:rsidP="00702F33">
      <w:pPr>
        <w:autoSpaceDE w:val="0"/>
        <w:autoSpaceDN w:val="0"/>
        <w:adjustRightInd w:val="0"/>
        <w:spacing w:after="0" w:line="240" w:lineRule="auto"/>
        <w:rPr>
          <w:lang w:val="fr-BE"/>
        </w:rPr>
      </w:pPr>
      <w:r w:rsidRPr="00702F33">
        <w:rPr>
          <w:lang w:val="fr-BE"/>
        </w:rPr>
        <w:t xml:space="preserve">Sur base de cette analyse, les VAN et TRI des deux scénarii seront comparés. Dans le cas où les résultats de VAN et TRI conduisent à des opportunités d’investissement contradictoires, priorité sera donnée au critère de VAN. </w:t>
      </w:r>
    </w:p>
    <w:p w:rsidR="00702F33" w:rsidRPr="00702F33" w:rsidRDefault="00702F33" w:rsidP="00702F33">
      <w:pPr>
        <w:autoSpaceDE w:val="0"/>
        <w:autoSpaceDN w:val="0"/>
        <w:adjustRightInd w:val="0"/>
        <w:spacing w:after="0" w:line="240" w:lineRule="auto"/>
        <w:rPr>
          <w:lang w:val="fr-BE"/>
        </w:rPr>
      </w:pPr>
    </w:p>
    <w:p w:rsidR="00702F33" w:rsidRDefault="00A752D1" w:rsidP="00702F33">
      <w:pPr>
        <w:autoSpaceDE w:val="0"/>
        <w:autoSpaceDN w:val="0"/>
        <w:adjustRightInd w:val="0"/>
        <w:spacing w:after="0" w:line="240" w:lineRule="auto"/>
        <w:rPr>
          <w:lang w:val="fr-BE"/>
        </w:rPr>
      </w:pPr>
      <w:r>
        <w:rPr>
          <w:lang w:val="fr-BE"/>
        </w:rPr>
        <w:t>Le permis d’environnement tient compte des résultats de l’analyse financière du projet présenté.</w:t>
      </w:r>
    </w:p>
    <w:p w:rsidR="00A752D1" w:rsidRPr="00702F33" w:rsidRDefault="00A752D1" w:rsidP="00702F33">
      <w:pPr>
        <w:autoSpaceDE w:val="0"/>
        <w:autoSpaceDN w:val="0"/>
        <w:adjustRightInd w:val="0"/>
        <w:spacing w:after="0" w:line="240" w:lineRule="auto"/>
        <w:rPr>
          <w:lang w:val="fr-BE"/>
        </w:rPr>
      </w:pPr>
    </w:p>
    <w:p w:rsidR="00FB4243" w:rsidRDefault="00FB4243" w:rsidP="00FB4243">
      <w:pPr>
        <w:ind w:left="360"/>
        <w:rPr>
          <w:lang w:val="fr-BE"/>
        </w:rPr>
      </w:pPr>
    </w:p>
    <w:p w:rsidR="00492CA6" w:rsidRPr="004E12CF" w:rsidRDefault="00492CA6" w:rsidP="00FB4243">
      <w:pPr>
        <w:ind w:left="360"/>
        <w:rPr>
          <w:b/>
          <w:u w:val="single"/>
          <w:lang w:val="fr-BE"/>
        </w:rPr>
      </w:pPr>
      <w:r w:rsidRPr="004E12CF">
        <w:rPr>
          <w:b/>
          <w:u w:val="single"/>
          <w:lang w:val="fr-BE"/>
        </w:rPr>
        <w:t>Documents liés</w:t>
      </w:r>
    </w:p>
    <w:p w:rsidR="00D9310D" w:rsidRDefault="00407B2F" w:rsidP="00D9310D">
      <w:pPr>
        <w:pStyle w:val="Paragraphedeliste"/>
        <w:numPr>
          <w:ilvl w:val="0"/>
          <w:numId w:val="2"/>
        </w:numPr>
        <w:rPr>
          <w:lang w:val="fr-BE"/>
        </w:rPr>
      </w:pPr>
      <w:r>
        <w:rPr>
          <w:lang w:val="fr-BE"/>
        </w:rPr>
        <w:t>L’a</w:t>
      </w:r>
      <w:r w:rsidRPr="00407B2F">
        <w:rPr>
          <w:lang w:val="fr-BE"/>
        </w:rPr>
        <w:t>rrêté du Gouvernement wallon du 4 juillet 2002 relatif à la procédure et à diverses mesures d’exécution du décret du 11 mars 1999 relatif au permis d’environnement</w:t>
      </w:r>
      <w:r>
        <w:rPr>
          <w:lang w:val="fr-BE"/>
        </w:rPr>
        <w:t xml:space="preserve"> </w:t>
      </w:r>
      <w:proofErr w:type="spellStart"/>
      <w:r>
        <w:rPr>
          <w:lang w:val="fr-BE"/>
        </w:rPr>
        <w:t>lel</w:t>
      </w:r>
      <w:proofErr w:type="spellEnd"/>
      <w:r>
        <w:rPr>
          <w:lang w:val="fr-BE"/>
        </w:rPr>
        <w:t xml:space="preserve"> que modifié par l’a</w:t>
      </w:r>
      <w:r w:rsidRPr="00407B2F">
        <w:rPr>
          <w:lang w:val="fr-BE"/>
        </w:rPr>
        <w:t>rrêté du Gouvernement wallon du 19 juin 2014 modifiant l’arrêté du Gouvernement wallon du 4 juillet 2002 relatif à la procédure et à diverses mesures d’exécution du décret du 11 mars 1999 relatif au permis d’environneme</w:t>
      </w:r>
      <w:r w:rsidR="00DA4F17">
        <w:rPr>
          <w:lang w:val="fr-BE"/>
        </w:rPr>
        <w:t xml:space="preserve">nt et y insérant l’annexe XXXII. </w:t>
      </w:r>
    </w:p>
    <w:p w:rsidR="00D9310D" w:rsidRPr="00DA4F17" w:rsidRDefault="00D9310D" w:rsidP="00DA4F17">
      <w:pPr>
        <w:ind w:left="360"/>
        <w:rPr>
          <w:lang w:val="fr-BE"/>
        </w:rPr>
      </w:pPr>
    </w:p>
    <w:p w:rsidR="002908D5" w:rsidRPr="002908D5" w:rsidRDefault="002908D5" w:rsidP="002908D5">
      <w:pPr>
        <w:rPr>
          <w:lang w:val="fr-BE"/>
        </w:rPr>
      </w:pPr>
    </w:p>
    <w:p w:rsidR="000F09C5" w:rsidRDefault="000F09C5" w:rsidP="00FA301A">
      <w:pPr>
        <w:rPr>
          <w:lang w:val="fr-BE"/>
        </w:rPr>
      </w:pPr>
    </w:p>
    <w:p w:rsidR="000F09C5" w:rsidRPr="00FA301A" w:rsidRDefault="000F09C5" w:rsidP="00FA301A">
      <w:pPr>
        <w:rPr>
          <w:lang w:val="fr-BE"/>
        </w:rPr>
      </w:pPr>
    </w:p>
    <w:p w:rsidR="00742577" w:rsidRPr="00073C5B" w:rsidRDefault="00742577">
      <w:pPr>
        <w:rPr>
          <w:lang w:val="fr-BE"/>
        </w:rPr>
      </w:pPr>
    </w:p>
    <w:sectPr w:rsidR="00742577" w:rsidRPr="00073C5B" w:rsidSect="000D523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56E" w:rsidRDefault="00B6556E" w:rsidP="00742577">
      <w:pPr>
        <w:spacing w:after="0" w:line="240" w:lineRule="auto"/>
      </w:pPr>
      <w:r>
        <w:separator/>
      </w:r>
    </w:p>
  </w:endnote>
  <w:endnote w:type="continuationSeparator" w:id="0">
    <w:p w:rsidR="00B6556E" w:rsidRDefault="00B6556E" w:rsidP="00742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0105D9" w:rsidRPr="000105D9">
      <w:tc>
        <w:tcPr>
          <w:tcW w:w="918" w:type="dxa"/>
        </w:tcPr>
        <w:p w:rsidR="000105D9" w:rsidRDefault="000105D9">
          <w:pPr>
            <w:pStyle w:val="Pieddepage"/>
            <w:jc w:val="right"/>
            <w:rPr>
              <w:b/>
              <w:color w:val="4F81BD" w:themeColor="accent1"/>
              <w:sz w:val="32"/>
              <w:szCs w:val="32"/>
            </w:rPr>
          </w:pPr>
          <w:fldSimple w:instr=" PAGE   \* MERGEFORMAT ">
            <w:r w:rsidRPr="000105D9">
              <w:rPr>
                <w:b/>
                <w:noProof/>
                <w:color w:val="4F81BD" w:themeColor="accent1"/>
                <w:sz w:val="32"/>
                <w:szCs w:val="32"/>
              </w:rPr>
              <w:t>1</w:t>
            </w:r>
          </w:fldSimple>
        </w:p>
      </w:tc>
      <w:tc>
        <w:tcPr>
          <w:tcW w:w="7938" w:type="dxa"/>
        </w:tcPr>
        <w:p w:rsidR="000105D9" w:rsidRPr="000105D9" w:rsidRDefault="000105D9" w:rsidP="000105D9">
          <w:pPr>
            <w:pStyle w:val="Pieddepage"/>
            <w:rPr>
              <w:lang w:val="fr-BE"/>
            </w:rPr>
          </w:pPr>
          <w:r w:rsidRPr="000105D9">
            <w:rPr>
              <w:lang w:val="fr-BE"/>
            </w:rPr>
            <w:t>Guidelines analyse co</w:t>
          </w:r>
          <w:r>
            <w:rPr>
              <w:lang w:val="fr-BE"/>
            </w:rPr>
            <w:t>ût</w:t>
          </w:r>
          <w:r w:rsidRPr="000105D9">
            <w:rPr>
              <w:lang w:val="fr-BE"/>
            </w:rPr>
            <w:t>-bénéfice individuelle</w:t>
          </w:r>
          <w:r>
            <w:rPr>
              <w:lang w:val="fr-BE"/>
            </w:rPr>
            <w:t xml:space="preserve">   -  Mise  à jour 10092014</w:t>
          </w:r>
        </w:p>
      </w:tc>
    </w:tr>
    <w:tr w:rsidR="000105D9" w:rsidRPr="000105D9">
      <w:tc>
        <w:tcPr>
          <w:tcW w:w="918" w:type="dxa"/>
        </w:tcPr>
        <w:p w:rsidR="000105D9" w:rsidRPr="000105D9" w:rsidRDefault="000105D9" w:rsidP="000105D9">
          <w:pPr>
            <w:pStyle w:val="Pieddepage"/>
            <w:rPr>
              <w:lang w:val="fr-BE"/>
            </w:rPr>
          </w:pPr>
        </w:p>
      </w:tc>
      <w:tc>
        <w:tcPr>
          <w:tcW w:w="7938" w:type="dxa"/>
        </w:tcPr>
        <w:p w:rsidR="000105D9" w:rsidRPr="000105D9" w:rsidRDefault="000105D9" w:rsidP="000105D9">
          <w:pPr>
            <w:pStyle w:val="Pieddepage"/>
            <w:rPr>
              <w:lang w:val="fr-BE"/>
            </w:rPr>
          </w:pPr>
        </w:p>
      </w:tc>
    </w:tr>
  </w:tbl>
  <w:p w:rsidR="00E504CA" w:rsidRPr="000105D9" w:rsidRDefault="00E504CA">
    <w:pPr>
      <w:pStyle w:val="Pieddepage"/>
      <w:rPr>
        <w:lang w:val="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56E" w:rsidRDefault="00B6556E" w:rsidP="00742577">
      <w:pPr>
        <w:spacing w:after="0" w:line="240" w:lineRule="auto"/>
      </w:pPr>
      <w:r>
        <w:separator/>
      </w:r>
    </w:p>
  </w:footnote>
  <w:footnote w:type="continuationSeparator" w:id="0">
    <w:p w:rsidR="00B6556E" w:rsidRDefault="00B6556E" w:rsidP="00742577">
      <w:pPr>
        <w:spacing w:after="0" w:line="240" w:lineRule="auto"/>
      </w:pPr>
      <w:r>
        <w:continuationSeparator/>
      </w:r>
    </w:p>
  </w:footnote>
  <w:footnote w:id="1">
    <w:p w:rsidR="00742577" w:rsidRPr="00742577" w:rsidRDefault="00742577">
      <w:pPr>
        <w:pStyle w:val="Notedebasdepage"/>
        <w:rPr>
          <w:lang w:val="fr-BE"/>
        </w:rPr>
      </w:pPr>
      <w:r>
        <w:rPr>
          <w:rStyle w:val="Appelnotedebasdep"/>
        </w:rPr>
        <w:footnoteRef/>
      </w:r>
      <w:r w:rsidRPr="00742577">
        <w:rPr>
          <w:lang w:val="fr-BE"/>
        </w:rPr>
        <w:t xml:space="preserve"> </w:t>
      </w:r>
      <w:r>
        <w:rPr>
          <w:lang w:val="fr-BE"/>
        </w:rPr>
        <w:t>VAN= Valeur actuelle nette ; TRI= taux de rentabilité interne</w:t>
      </w:r>
    </w:p>
  </w:footnote>
  <w:footnote w:id="2">
    <w:p w:rsidR="00F529D1" w:rsidRPr="00F529D1" w:rsidRDefault="00F529D1">
      <w:pPr>
        <w:pStyle w:val="Notedebasdepage"/>
        <w:rPr>
          <w:lang w:val="fr-BE"/>
        </w:rPr>
      </w:pPr>
      <w:r>
        <w:rPr>
          <w:rStyle w:val="Appelnotedebasdep"/>
        </w:rPr>
        <w:footnoteRef/>
      </w:r>
      <w:r w:rsidR="00D9310D" w:rsidRPr="00D9310D">
        <w:rPr>
          <w:lang w:val="fr-BE"/>
        </w:rPr>
        <w:t xml:space="preserve"> </w:t>
      </w:r>
      <w:r>
        <w:rPr>
          <w:lang w:val="fr-BE"/>
        </w:rPr>
        <w:t>Voir point « actualisation »</w:t>
      </w:r>
    </w:p>
  </w:footnote>
  <w:footnote w:id="3">
    <w:p w:rsidR="007304C5" w:rsidRPr="007304C5" w:rsidRDefault="007304C5">
      <w:pPr>
        <w:pStyle w:val="Notedebasdepage"/>
        <w:rPr>
          <w:lang w:val="fr-BE"/>
        </w:rPr>
      </w:pPr>
      <w:r>
        <w:rPr>
          <w:rStyle w:val="Appelnotedebasdep"/>
        </w:rPr>
        <w:footnoteRef/>
      </w:r>
      <w:r w:rsidRPr="00C61D56">
        <w:rPr>
          <w:lang w:val="fr-BE"/>
        </w:rPr>
        <w:t xml:space="preserve"> </w:t>
      </w:r>
      <w:r>
        <w:rPr>
          <w:lang w:val="fr-BE"/>
        </w:rPr>
        <w:t xml:space="preserve">Voir calculateur </w:t>
      </w:r>
      <w:proofErr w:type="spellStart"/>
      <w:r>
        <w:rPr>
          <w:lang w:val="fr-BE"/>
        </w:rPr>
        <w:t>CWaPE</w:t>
      </w:r>
      <w:proofErr w:type="spellEnd"/>
      <w:r>
        <w:rPr>
          <w:lang w:val="fr-BE"/>
        </w:rPr>
        <w:t xml:space="preserve"> : </w:t>
      </w:r>
      <w:r w:rsidR="00C61D56">
        <w:rPr>
          <w:lang w:val="fr-BE"/>
        </w:rPr>
        <w:t xml:space="preserve">logiciel de calcul des certificats verts, disponible sur le site de la </w:t>
      </w:r>
      <w:proofErr w:type="spellStart"/>
      <w:r w:rsidR="00C61D56">
        <w:rPr>
          <w:lang w:val="fr-BE"/>
        </w:rPr>
        <w:t>CWaPe</w:t>
      </w:r>
      <w:proofErr w:type="spellEnd"/>
      <w:r w:rsidR="00C61D56">
        <w:rPr>
          <w:lang w:val="fr-BE"/>
        </w:rPr>
        <w:t> : www.cwape.be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5EE"/>
    <w:multiLevelType w:val="hybridMultilevel"/>
    <w:tmpl w:val="A0CC1CF8"/>
    <w:lvl w:ilvl="0" w:tplc="563EE4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E97C23"/>
    <w:multiLevelType w:val="hybridMultilevel"/>
    <w:tmpl w:val="4AAC36F2"/>
    <w:lvl w:ilvl="0" w:tplc="1FD2329E">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572FE0"/>
    <w:multiLevelType w:val="multilevel"/>
    <w:tmpl w:val="0D9091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AA01C3E"/>
    <w:multiLevelType w:val="hybridMultilevel"/>
    <w:tmpl w:val="7E1C9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3C5B"/>
    <w:rsid w:val="000105D9"/>
    <w:rsid w:val="0006263B"/>
    <w:rsid w:val="00073C5B"/>
    <w:rsid w:val="000B4670"/>
    <w:rsid w:val="000D046D"/>
    <w:rsid w:val="000D5237"/>
    <w:rsid w:val="000F09C5"/>
    <w:rsid w:val="00101D52"/>
    <w:rsid w:val="00105C62"/>
    <w:rsid w:val="001B4E24"/>
    <w:rsid w:val="00212E77"/>
    <w:rsid w:val="0023094C"/>
    <w:rsid w:val="00261A52"/>
    <w:rsid w:val="002908D5"/>
    <w:rsid w:val="002B68CB"/>
    <w:rsid w:val="00317618"/>
    <w:rsid w:val="00363F53"/>
    <w:rsid w:val="003E2F23"/>
    <w:rsid w:val="00407B2F"/>
    <w:rsid w:val="00492CA6"/>
    <w:rsid w:val="00494A00"/>
    <w:rsid w:val="004E12CF"/>
    <w:rsid w:val="005609C4"/>
    <w:rsid w:val="005E4583"/>
    <w:rsid w:val="005F5173"/>
    <w:rsid w:val="00617FCA"/>
    <w:rsid w:val="00702F33"/>
    <w:rsid w:val="007304C5"/>
    <w:rsid w:val="00742577"/>
    <w:rsid w:val="00743118"/>
    <w:rsid w:val="007A3BB9"/>
    <w:rsid w:val="007F36EE"/>
    <w:rsid w:val="0084294E"/>
    <w:rsid w:val="00842E18"/>
    <w:rsid w:val="008E14A6"/>
    <w:rsid w:val="009543BD"/>
    <w:rsid w:val="009A10AB"/>
    <w:rsid w:val="00A27EDC"/>
    <w:rsid w:val="00A377CC"/>
    <w:rsid w:val="00A752D1"/>
    <w:rsid w:val="00B6556E"/>
    <w:rsid w:val="00C04969"/>
    <w:rsid w:val="00C07E17"/>
    <w:rsid w:val="00C61D56"/>
    <w:rsid w:val="00D769E3"/>
    <w:rsid w:val="00D9310D"/>
    <w:rsid w:val="00DA4F17"/>
    <w:rsid w:val="00E06B4D"/>
    <w:rsid w:val="00E504CA"/>
    <w:rsid w:val="00E63515"/>
    <w:rsid w:val="00E706E1"/>
    <w:rsid w:val="00F529D1"/>
    <w:rsid w:val="00FA301A"/>
    <w:rsid w:val="00FB42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37"/>
    <w:rPr>
      <w:lang w:val="en-GB"/>
    </w:rPr>
  </w:style>
  <w:style w:type="paragraph" w:styleId="Titre1">
    <w:name w:val="heading 1"/>
    <w:basedOn w:val="Normal"/>
    <w:next w:val="Normal"/>
    <w:link w:val="Titre1Car"/>
    <w:uiPriority w:val="9"/>
    <w:qFormat/>
    <w:rsid w:val="00073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12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E1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3C5B"/>
    <w:rPr>
      <w:rFonts w:asciiTheme="majorHAnsi" w:eastAsiaTheme="majorEastAsia" w:hAnsiTheme="majorHAnsi" w:cstheme="majorBidi"/>
      <w:b/>
      <w:bCs/>
      <w:color w:val="365F91" w:themeColor="accent1" w:themeShade="BF"/>
      <w:sz w:val="28"/>
      <w:szCs w:val="28"/>
      <w:lang w:val="en-GB"/>
    </w:rPr>
  </w:style>
  <w:style w:type="character" w:styleId="Marquedecommentaire">
    <w:name w:val="annotation reference"/>
    <w:basedOn w:val="Policepardfaut"/>
    <w:uiPriority w:val="99"/>
    <w:semiHidden/>
    <w:unhideWhenUsed/>
    <w:rsid w:val="00742577"/>
    <w:rPr>
      <w:sz w:val="16"/>
      <w:szCs w:val="16"/>
    </w:rPr>
  </w:style>
  <w:style w:type="paragraph" w:styleId="Commentaire">
    <w:name w:val="annotation text"/>
    <w:basedOn w:val="Normal"/>
    <w:link w:val="CommentaireCar"/>
    <w:uiPriority w:val="99"/>
    <w:semiHidden/>
    <w:unhideWhenUsed/>
    <w:rsid w:val="00742577"/>
    <w:pPr>
      <w:spacing w:line="240" w:lineRule="auto"/>
    </w:pPr>
    <w:rPr>
      <w:sz w:val="20"/>
      <w:szCs w:val="20"/>
    </w:rPr>
  </w:style>
  <w:style w:type="character" w:customStyle="1" w:styleId="CommentaireCar">
    <w:name w:val="Commentaire Car"/>
    <w:basedOn w:val="Policepardfaut"/>
    <w:link w:val="Commentaire"/>
    <w:uiPriority w:val="99"/>
    <w:semiHidden/>
    <w:rsid w:val="00742577"/>
    <w:rPr>
      <w:sz w:val="20"/>
      <w:szCs w:val="20"/>
      <w:lang w:val="en-GB"/>
    </w:rPr>
  </w:style>
  <w:style w:type="paragraph" w:styleId="Objetducommentaire">
    <w:name w:val="annotation subject"/>
    <w:basedOn w:val="Commentaire"/>
    <w:next w:val="Commentaire"/>
    <w:link w:val="ObjetducommentaireCar"/>
    <w:uiPriority w:val="99"/>
    <w:semiHidden/>
    <w:unhideWhenUsed/>
    <w:rsid w:val="00742577"/>
    <w:rPr>
      <w:b/>
      <w:bCs/>
    </w:rPr>
  </w:style>
  <w:style w:type="character" w:customStyle="1" w:styleId="ObjetducommentaireCar">
    <w:name w:val="Objet du commentaire Car"/>
    <w:basedOn w:val="CommentaireCar"/>
    <w:link w:val="Objetducommentaire"/>
    <w:uiPriority w:val="99"/>
    <w:semiHidden/>
    <w:rsid w:val="00742577"/>
    <w:rPr>
      <w:b/>
      <w:bCs/>
    </w:rPr>
  </w:style>
  <w:style w:type="paragraph" w:styleId="Textedebulles">
    <w:name w:val="Balloon Text"/>
    <w:basedOn w:val="Normal"/>
    <w:link w:val="TextedebullesCar"/>
    <w:uiPriority w:val="99"/>
    <w:semiHidden/>
    <w:unhideWhenUsed/>
    <w:rsid w:val="00742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577"/>
    <w:rPr>
      <w:rFonts w:ascii="Tahoma" w:hAnsi="Tahoma" w:cs="Tahoma"/>
      <w:sz w:val="16"/>
      <w:szCs w:val="16"/>
      <w:lang w:val="en-GB"/>
    </w:rPr>
  </w:style>
  <w:style w:type="paragraph" w:styleId="Notedebasdepage">
    <w:name w:val="footnote text"/>
    <w:basedOn w:val="Normal"/>
    <w:link w:val="NotedebasdepageCar"/>
    <w:uiPriority w:val="99"/>
    <w:semiHidden/>
    <w:unhideWhenUsed/>
    <w:rsid w:val="007425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2577"/>
    <w:rPr>
      <w:sz w:val="20"/>
      <w:szCs w:val="20"/>
      <w:lang w:val="en-GB"/>
    </w:rPr>
  </w:style>
  <w:style w:type="character" w:styleId="Appelnotedebasdep">
    <w:name w:val="footnote reference"/>
    <w:basedOn w:val="Policepardfaut"/>
    <w:uiPriority w:val="99"/>
    <w:semiHidden/>
    <w:unhideWhenUsed/>
    <w:rsid w:val="00742577"/>
    <w:rPr>
      <w:vertAlign w:val="superscript"/>
    </w:rPr>
  </w:style>
  <w:style w:type="character" w:customStyle="1" w:styleId="Titre2Car">
    <w:name w:val="Titre 2 Car"/>
    <w:basedOn w:val="Policepardfaut"/>
    <w:link w:val="Titre2"/>
    <w:uiPriority w:val="9"/>
    <w:rsid w:val="00212E77"/>
    <w:rPr>
      <w:rFonts w:asciiTheme="majorHAnsi" w:eastAsiaTheme="majorEastAsia" w:hAnsiTheme="majorHAnsi" w:cstheme="majorBidi"/>
      <w:b/>
      <w:bCs/>
      <w:color w:val="4F81BD" w:themeColor="accent1"/>
      <w:sz w:val="26"/>
      <w:szCs w:val="26"/>
      <w:lang w:val="en-GB"/>
    </w:rPr>
  </w:style>
  <w:style w:type="table" w:styleId="Grilledutableau">
    <w:name w:val="Table Grid"/>
    <w:basedOn w:val="TableauNormal"/>
    <w:uiPriority w:val="59"/>
    <w:rsid w:val="00261A52"/>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E14A6"/>
    <w:rPr>
      <w:rFonts w:asciiTheme="majorHAnsi" w:eastAsiaTheme="majorEastAsia" w:hAnsiTheme="majorHAnsi" w:cstheme="majorBidi"/>
      <w:b/>
      <w:bCs/>
      <w:color w:val="4F81BD" w:themeColor="accent1"/>
      <w:lang w:val="en-GB"/>
    </w:rPr>
  </w:style>
  <w:style w:type="paragraph" w:styleId="Paragraphedeliste">
    <w:name w:val="List Paragraph"/>
    <w:basedOn w:val="Normal"/>
    <w:uiPriority w:val="34"/>
    <w:qFormat/>
    <w:rsid w:val="00A27EDC"/>
    <w:pPr>
      <w:ind w:left="720"/>
      <w:contextualSpacing/>
    </w:pPr>
  </w:style>
  <w:style w:type="paragraph" w:styleId="En-tte">
    <w:name w:val="header"/>
    <w:basedOn w:val="Normal"/>
    <w:link w:val="En-tteCar"/>
    <w:uiPriority w:val="99"/>
    <w:semiHidden/>
    <w:unhideWhenUsed/>
    <w:rsid w:val="00E504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04CA"/>
    <w:rPr>
      <w:lang w:val="en-GB"/>
    </w:rPr>
  </w:style>
  <w:style w:type="paragraph" w:styleId="Pieddepage">
    <w:name w:val="footer"/>
    <w:basedOn w:val="Normal"/>
    <w:link w:val="PieddepageCar"/>
    <w:uiPriority w:val="99"/>
    <w:unhideWhenUsed/>
    <w:rsid w:val="00E504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4CA"/>
    <w:rPr>
      <w:lang w:val="en-GB"/>
    </w:rPr>
  </w:style>
  <w:style w:type="character" w:customStyle="1" w:styleId="act-nat">
    <w:name w:val="act-nat"/>
    <w:basedOn w:val="Policepardfaut"/>
    <w:rsid w:val="00407B2F"/>
  </w:style>
  <w:style w:type="character" w:customStyle="1" w:styleId="apple-converted-space">
    <w:name w:val="apple-converted-space"/>
    <w:basedOn w:val="Policepardfaut"/>
    <w:rsid w:val="00407B2F"/>
  </w:style>
  <w:style w:type="paragraph" w:styleId="Titre">
    <w:name w:val="Title"/>
    <w:basedOn w:val="Normal"/>
    <w:next w:val="Normal"/>
    <w:link w:val="TitreCar"/>
    <w:uiPriority w:val="10"/>
    <w:qFormat/>
    <w:rsid w:val="000105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05D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151718990">
      <w:bodyDiv w:val="1"/>
      <w:marLeft w:val="0"/>
      <w:marRight w:val="0"/>
      <w:marTop w:val="0"/>
      <w:marBottom w:val="0"/>
      <w:divBdr>
        <w:top w:val="none" w:sz="0" w:space="0" w:color="auto"/>
        <w:left w:val="none" w:sz="0" w:space="0" w:color="auto"/>
        <w:bottom w:val="none" w:sz="0" w:space="0" w:color="auto"/>
        <w:right w:val="none" w:sz="0" w:space="0" w:color="auto"/>
      </w:divBdr>
    </w:div>
    <w:div w:id="402334978">
      <w:bodyDiv w:val="1"/>
      <w:marLeft w:val="0"/>
      <w:marRight w:val="0"/>
      <w:marTop w:val="0"/>
      <w:marBottom w:val="0"/>
      <w:divBdr>
        <w:top w:val="none" w:sz="0" w:space="0" w:color="auto"/>
        <w:left w:val="none" w:sz="0" w:space="0" w:color="auto"/>
        <w:bottom w:val="none" w:sz="0" w:space="0" w:color="auto"/>
        <w:right w:val="none" w:sz="0" w:space="0" w:color="auto"/>
      </w:divBdr>
    </w:div>
    <w:div w:id="8148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8D742-BC05-4549-841D-FCC51996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7686</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133790</cp:lastModifiedBy>
  <cp:revision>2</cp:revision>
  <dcterms:created xsi:type="dcterms:W3CDTF">2014-09-10T14:25:00Z</dcterms:created>
  <dcterms:modified xsi:type="dcterms:W3CDTF">2014-09-10T14:25:00Z</dcterms:modified>
</cp:coreProperties>
</file>