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2B7" w:rsidRPr="00C358AF" w:rsidRDefault="005E02B7" w:rsidP="005E02B7">
      <w:pPr>
        <w:jc w:val="both"/>
        <w:rPr>
          <w:rFonts w:ascii="Verdana" w:hAnsi="Verdana"/>
          <w:sz w:val="20"/>
          <w:szCs w:val="20"/>
        </w:rPr>
      </w:pPr>
    </w:p>
    <w:p w:rsidR="005E02B7" w:rsidRPr="00C358AF" w:rsidRDefault="005E02B7" w:rsidP="005E02B7">
      <w:pPr>
        <w:jc w:val="center"/>
        <w:rPr>
          <w:rFonts w:ascii="Verdana" w:hAnsi="Verdana"/>
          <w:b/>
          <w:caps/>
          <w:kern w:val="20"/>
          <w:sz w:val="20"/>
          <w:szCs w:val="22"/>
        </w:rPr>
      </w:pPr>
      <w:r w:rsidRPr="00C358AF">
        <w:rPr>
          <w:rFonts w:ascii="Verdana" w:hAnsi="Verdana"/>
          <w:b/>
          <w:caps/>
          <w:kern w:val="20"/>
          <w:sz w:val="20"/>
          <w:szCs w:val="22"/>
        </w:rPr>
        <w:t xml:space="preserve">Appel à projets pour la mise en œuvre de solution de </w:t>
      </w:r>
      <w:r w:rsidRPr="00C358AF">
        <w:rPr>
          <w:rFonts w:ascii="Verdana" w:hAnsi="Verdana"/>
          <w:b/>
          <w:caps/>
          <w:kern w:val="20"/>
          <w:sz w:val="20"/>
          <w:szCs w:val="22"/>
          <w:highlight w:val="yellow"/>
        </w:rPr>
        <w:t>mobilité partagée</w:t>
      </w:r>
      <w:r w:rsidRPr="00C358AF">
        <w:rPr>
          <w:rFonts w:ascii="Verdana" w:hAnsi="Verdana"/>
          <w:b/>
          <w:caps/>
          <w:kern w:val="20"/>
          <w:sz w:val="20"/>
          <w:szCs w:val="22"/>
        </w:rPr>
        <w:t xml:space="preserve"> électrique</w:t>
      </w:r>
    </w:p>
    <w:p w:rsidR="005E02B7" w:rsidRPr="00C358AF" w:rsidRDefault="005E02B7" w:rsidP="005E02B7">
      <w:pPr>
        <w:jc w:val="both"/>
        <w:rPr>
          <w:rFonts w:ascii="Verdana" w:hAnsi="Verdana"/>
          <w:sz w:val="20"/>
          <w:szCs w:val="22"/>
        </w:rPr>
      </w:pPr>
    </w:p>
    <w:p w:rsidR="005E02B7" w:rsidRPr="00C358AF" w:rsidRDefault="005E02B7" w:rsidP="005E02B7">
      <w:pPr>
        <w:jc w:val="both"/>
        <w:rPr>
          <w:rFonts w:ascii="Verdana" w:hAnsi="Verdana"/>
          <w:sz w:val="20"/>
          <w:szCs w:val="22"/>
        </w:rPr>
      </w:pPr>
    </w:p>
    <w:p w:rsidR="005E02B7" w:rsidRPr="00C358AF" w:rsidRDefault="005E02B7" w:rsidP="005E02B7">
      <w:pPr>
        <w:jc w:val="both"/>
        <w:rPr>
          <w:rFonts w:ascii="Verdana" w:hAnsi="Verdana"/>
          <w:sz w:val="20"/>
          <w:szCs w:val="22"/>
        </w:rPr>
      </w:pPr>
      <w:r w:rsidRPr="00C358AF">
        <w:rPr>
          <w:rFonts w:ascii="Verdana" w:hAnsi="Verdana"/>
          <w:sz w:val="20"/>
          <w:szCs w:val="22"/>
        </w:rPr>
        <w:t xml:space="preserve">La congestion urbaine et l’impact environnemental associé sont perçus comme un des enjeux les plus fréquemment mis en avant dans le débat sur la mobilité principalement dans les grandes villes ou les noyaux densément peuplés. La mobilité partagée et électrifiée est souvent perçue comme une solution permettant de favoriser tant la transition énergétique dans le transport que la densification du transport de personnes ou le report modal. </w:t>
      </w:r>
    </w:p>
    <w:p w:rsidR="005E02B7" w:rsidRPr="00C358AF" w:rsidRDefault="005E02B7" w:rsidP="005E02B7">
      <w:pPr>
        <w:jc w:val="both"/>
        <w:rPr>
          <w:rFonts w:ascii="Verdana" w:hAnsi="Verdana"/>
          <w:sz w:val="20"/>
          <w:szCs w:val="22"/>
        </w:rPr>
      </w:pPr>
    </w:p>
    <w:p w:rsidR="005E02B7" w:rsidRPr="00C358AF" w:rsidRDefault="005E02B7" w:rsidP="005E02B7">
      <w:pPr>
        <w:jc w:val="both"/>
        <w:rPr>
          <w:rFonts w:ascii="Verdana" w:hAnsi="Verdana"/>
          <w:sz w:val="20"/>
          <w:szCs w:val="20"/>
        </w:rPr>
      </w:pPr>
      <w:r w:rsidRPr="00C358AF">
        <w:rPr>
          <w:rFonts w:ascii="Verdana" w:hAnsi="Verdana"/>
          <w:sz w:val="20"/>
          <w:szCs w:val="20"/>
        </w:rPr>
        <w:t>Le présent appel à projets devrait permettre le déploiement de solutions partagées recourant majoritairement à des modes de transport électrifiés. Divers types de modes partagés sont envisageables :</w:t>
      </w:r>
    </w:p>
    <w:p w:rsidR="005E02B7" w:rsidRPr="00C358AF" w:rsidRDefault="005E02B7" w:rsidP="005E02B7">
      <w:pPr>
        <w:jc w:val="both"/>
        <w:rPr>
          <w:rFonts w:ascii="Verdana" w:hAnsi="Verdana"/>
          <w:sz w:val="20"/>
          <w:szCs w:val="20"/>
        </w:rPr>
      </w:pPr>
    </w:p>
    <w:p w:rsidR="005E02B7" w:rsidRPr="00C358AF" w:rsidRDefault="005E02B7" w:rsidP="005E02B7">
      <w:pPr>
        <w:widowControl w:val="0"/>
        <w:numPr>
          <w:ilvl w:val="0"/>
          <w:numId w:val="1"/>
        </w:numPr>
        <w:suppressAutoHyphens/>
        <w:jc w:val="both"/>
        <w:rPr>
          <w:rFonts w:ascii="Verdana" w:hAnsi="Verdana"/>
          <w:sz w:val="20"/>
          <w:szCs w:val="20"/>
        </w:rPr>
      </w:pPr>
      <w:r w:rsidRPr="00C358AF">
        <w:rPr>
          <w:rFonts w:ascii="Verdana" w:hAnsi="Verdana"/>
          <w:sz w:val="20"/>
          <w:szCs w:val="20"/>
        </w:rPr>
        <w:t xml:space="preserve">Véhicules automoteurs électriques soit en flotte captive, soit en « free </w:t>
      </w:r>
      <w:proofErr w:type="spellStart"/>
      <w:r w:rsidRPr="00C358AF">
        <w:rPr>
          <w:rFonts w:ascii="Verdana" w:hAnsi="Verdana"/>
          <w:sz w:val="20"/>
          <w:szCs w:val="20"/>
        </w:rPr>
        <w:t>floating</w:t>
      </w:r>
      <w:proofErr w:type="spellEnd"/>
      <w:r w:rsidRPr="00C358AF">
        <w:rPr>
          <w:rFonts w:ascii="Verdana" w:hAnsi="Verdana"/>
          <w:sz w:val="20"/>
          <w:szCs w:val="20"/>
        </w:rPr>
        <w:t> » en ce compris le réseau de chargement nécessaire à leur alimentation. Le déploiement de véhicules alimentés au gaz naturel comprimé (GNC) ou de véhicules hybrides rechargeables à concurrence d’un maximum de maximum 25% de la flotte sera autorisé à l’exclusion des stations de chargement pour ces types de véhicules. Le recours à des véhicules alimentés à l’hydrogène pourra être envisagé.</w:t>
      </w:r>
    </w:p>
    <w:p w:rsidR="005E02B7" w:rsidRPr="00C358AF" w:rsidRDefault="005E02B7" w:rsidP="005E02B7">
      <w:pPr>
        <w:widowControl w:val="0"/>
        <w:numPr>
          <w:ilvl w:val="0"/>
          <w:numId w:val="1"/>
        </w:numPr>
        <w:suppressAutoHyphens/>
        <w:jc w:val="both"/>
        <w:rPr>
          <w:rFonts w:ascii="Verdana" w:hAnsi="Verdana"/>
          <w:sz w:val="20"/>
          <w:szCs w:val="20"/>
        </w:rPr>
      </w:pPr>
      <w:r w:rsidRPr="00C358AF">
        <w:rPr>
          <w:rFonts w:ascii="Verdana" w:hAnsi="Verdana"/>
          <w:sz w:val="20"/>
          <w:szCs w:val="20"/>
        </w:rPr>
        <w:t xml:space="preserve">Mobylettes/scooters électriques (en ce compris les </w:t>
      </w:r>
      <w:proofErr w:type="spellStart"/>
      <w:r w:rsidRPr="00C358AF">
        <w:rPr>
          <w:rFonts w:ascii="Verdana" w:hAnsi="Verdana"/>
          <w:sz w:val="20"/>
          <w:szCs w:val="20"/>
        </w:rPr>
        <w:t>speedpedelecs</w:t>
      </w:r>
      <w:proofErr w:type="spellEnd"/>
      <w:r w:rsidRPr="00C358AF">
        <w:rPr>
          <w:rFonts w:ascii="Verdana" w:hAnsi="Verdana"/>
          <w:sz w:val="20"/>
          <w:szCs w:val="20"/>
        </w:rPr>
        <w:t xml:space="preserve">) soit en flotte captive, soit en « free </w:t>
      </w:r>
      <w:proofErr w:type="spellStart"/>
      <w:r w:rsidRPr="00C358AF">
        <w:rPr>
          <w:rFonts w:ascii="Verdana" w:hAnsi="Verdana"/>
          <w:sz w:val="20"/>
          <w:szCs w:val="20"/>
        </w:rPr>
        <w:t>floating</w:t>
      </w:r>
      <w:proofErr w:type="spellEnd"/>
      <w:r w:rsidRPr="00C358AF">
        <w:rPr>
          <w:rFonts w:ascii="Verdana" w:hAnsi="Verdana"/>
          <w:sz w:val="20"/>
          <w:szCs w:val="20"/>
        </w:rPr>
        <w:t> » en ce compris le réseau de chargement nécessaire à leur alimentation.</w:t>
      </w:r>
    </w:p>
    <w:p w:rsidR="005E02B7" w:rsidRPr="00C358AF" w:rsidRDefault="005E02B7" w:rsidP="005E02B7">
      <w:pPr>
        <w:widowControl w:val="0"/>
        <w:numPr>
          <w:ilvl w:val="0"/>
          <w:numId w:val="1"/>
        </w:numPr>
        <w:suppressAutoHyphens/>
        <w:jc w:val="both"/>
        <w:rPr>
          <w:rFonts w:ascii="Verdana" w:hAnsi="Verdana"/>
          <w:sz w:val="20"/>
          <w:szCs w:val="20"/>
        </w:rPr>
      </w:pPr>
      <w:r w:rsidRPr="00C358AF">
        <w:rPr>
          <w:rFonts w:ascii="Verdana" w:hAnsi="Verdana"/>
          <w:sz w:val="20"/>
          <w:szCs w:val="20"/>
        </w:rPr>
        <w:t xml:space="preserve">Vélos électriques (hors speed </w:t>
      </w:r>
      <w:proofErr w:type="spellStart"/>
      <w:r w:rsidRPr="00C358AF">
        <w:rPr>
          <w:rFonts w:ascii="Verdana" w:hAnsi="Verdana"/>
          <w:sz w:val="20"/>
          <w:szCs w:val="20"/>
        </w:rPr>
        <w:t>pedelecs</w:t>
      </w:r>
      <w:proofErr w:type="spellEnd"/>
      <w:r w:rsidRPr="00C358AF">
        <w:rPr>
          <w:rFonts w:ascii="Verdana" w:hAnsi="Verdana"/>
          <w:sz w:val="20"/>
          <w:szCs w:val="20"/>
        </w:rPr>
        <w:t xml:space="preserve">) soit en flotte captive, soit en « free </w:t>
      </w:r>
      <w:proofErr w:type="spellStart"/>
      <w:r w:rsidRPr="00C358AF">
        <w:rPr>
          <w:rFonts w:ascii="Verdana" w:hAnsi="Verdana"/>
          <w:sz w:val="20"/>
          <w:szCs w:val="20"/>
        </w:rPr>
        <w:t>floating</w:t>
      </w:r>
      <w:proofErr w:type="spellEnd"/>
      <w:r w:rsidRPr="00C358AF">
        <w:rPr>
          <w:rFonts w:ascii="Verdana" w:hAnsi="Verdana"/>
          <w:sz w:val="20"/>
          <w:szCs w:val="20"/>
        </w:rPr>
        <w:t> » en ce compris le réseau de chargement nécessaire à leur alimentation.</w:t>
      </w:r>
    </w:p>
    <w:p w:rsidR="005E02B7" w:rsidRPr="00C358AF" w:rsidRDefault="005E02B7" w:rsidP="005E02B7">
      <w:pPr>
        <w:widowControl w:val="0"/>
        <w:numPr>
          <w:ilvl w:val="0"/>
          <w:numId w:val="1"/>
        </w:numPr>
        <w:suppressAutoHyphens/>
        <w:jc w:val="both"/>
        <w:rPr>
          <w:rFonts w:ascii="Verdana" w:hAnsi="Verdana"/>
          <w:sz w:val="20"/>
          <w:szCs w:val="20"/>
        </w:rPr>
      </w:pPr>
      <w:r w:rsidRPr="00C358AF">
        <w:rPr>
          <w:rFonts w:ascii="Verdana" w:hAnsi="Verdana"/>
          <w:sz w:val="20"/>
          <w:szCs w:val="20"/>
        </w:rPr>
        <w:t xml:space="preserve">Trottinettes électriques soit en flotte captive, soit en « free </w:t>
      </w:r>
      <w:proofErr w:type="spellStart"/>
      <w:r w:rsidRPr="00C358AF">
        <w:rPr>
          <w:rFonts w:ascii="Verdana" w:hAnsi="Verdana"/>
          <w:sz w:val="20"/>
          <w:szCs w:val="20"/>
        </w:rPr>
        <w:t>floating</w:t>
      </w:r>
      <w:proofErr w:type="spellEnd"/>
      <w:r w:rsidRPr="00C358AF">
        <w:rPr>
          <w:rFonts w:ascii="Verdana" w:hAnsi="Verdana"/>
          <w:sz w:val="20"/>
          <w:szCs w:val="20"/>
        </w:rPr>
        <w:t> » en ce compris le réseau de chargement nécessaire à leur alimentation.</w:t>
      </w:r>
    </w:p>
    <w:p w:rsidR="005E02B7" w:rsidRPr="00C358AF" w:rsidRDefault="005E02B7" w:rsidP="005E02B7">
      <w:pPr>
        <w:jc w:val="both"/>
        <w:rPr>
          <w:rFonts w:ascii="Verdana" w:hAnsi="Verdana"/>
          <w:sz w:val="20"/>
          <w:szCs w:val="20"/>
        </w:rPr>
      </w:pPr>
    </w:p>
    <w:p w:rsidR="005E02B7" w:rsidRPr="00C358AF" w:rsidRDefault="005E02B7" w:rsidP="005E02B7">
      <w:pPr>
        <w:jc w:val="both"/>
        <w:rPr>
          <w:rFonts w:ascii="Verdana" w:hAnsi="Verdana"/>
          <w:sz w:val="20"/>
          <w:szCs w:val="20"/>
        </w:rPr>
      </w:pPr>
      <w:r w:rsidRPr="00C358AF">
        <w:rPr>
          <w:rFonts w:ascii="Verdana" w:hAnsi="Verdana"/>
          <w:sz w:val="20"/>
          <w:szCs w:val="20"/>
        </w:rPr>
        <w:t>Des modèles intégrant plusieurs modes de transport sont également autorisés.</w:t>
      </w:r>
    </w:p>
    <w:p w:rsidR="005E02B7" w:rsidRPr="00C358AF" w:rsidRDefault="005E02B7" w:rsidP="005E02B7">
      <w:pPr>
        <w:jc w:val="both"/>
        <w:rPr>
          <w:rFonts w:ascii="Verdana" w:hAnsi="Verdana"/>
          <w:sz w:val="20"/>
          <w:szCs w:val="20"/>
        </w:rPr>
      </w:pPr>
    </w:p>
    <w:p w:rsidR="005E02B7" w:rsidRPr="00C358AF" w:rsidRDefault="005E02B7" w:rsidP="005E02B7">
      <w:pPr>
        <w:jc w:val="both"/>
        <w:rPr>
          <w:rFonts w:ascii="Verdana" w:hAnsi="Verdana"/>
          <w:b/>
          <w:sz w:val="20"/>
          <w:szCs w:val="20"/>
          <w:u w:val="single"/>
        </w:rPr>
      </w:pPr>
      <w:r w:rsidRPr="00C358AF">
        <w:rPr>
          <w:rFonts w:ascii="Verdana" w:hAnsi="Verdana"/>
          <w:b/>
          <w:sz w:val="20"/>
          <w:szCs w:val="20"/>
          <w:u w:val="single"/>
        </w:rPr>
        <w:t>Type de soutien</w:t>
      </w:r>
    </w:p>
    <w:p w:rsidR="005E02B7" w:rsidRPr="00C358AF" w:rsidRDefault="005E02B7" w:rsidP="005E02B7">
      <w:pPr>
        <w:jc w:val="both"/>
        <w:rPr>
          <w:rFonts w:ascii="Verdana" w:hAnsi="Verdana"/>
          <w:sz w:val="20"/>
          <w:szCs w:val="22"/>
        </w:rPr>
      </w:pPr>
    </w:p>
    <w:p w:rsidR="005E02B7" w:rsidRPr="00C358AF" w:rsidRDefault="005E02B7" w:rsidP="005E02B7">
      <w:pPr>
        <w:jc w:val="both"/>
        <w:rPr>
          <w:rFonts w:ascii="Verdana" w:hAnsi="Verdana" w:cs="Verdana"/>
          <w:sz w:val="20"/>
          <w:szCs w:val="20"/>
        </w:rPr>
      </w:pPr>
      <w:r w:rsidRPr="00C358AF">
        <w:rPr>
          <w:rFonts w:ascii="Verdana" w:hAnsi="Verdana" w:cs="Verdana"/>
          <w:sz w:val="20"/>
          <w:szCs w:val="20"/>
        </w:rPr>
        <w:t>Le soutien est prévu sous forme d’</w:t>
      </w:r>
      <w:r w:rsidRPr="00C358AF">
        <w:rPr>
          <w:rFonts w:ascii="Verdana" w:hAnsi="Verdana" w:cs="Verdana"/>
          <w:b/>
          <w:sz w:val="20"/>
          <w:szCs w:val="20"/>
        </w:rPr>
        <w:t xml:space="preserve">avance récupérable </w:t>
      </w:r>
      <w:r w:rsidRPr="00C358AF">
        <w:rPr>
          <w:rFonts w:ascii="Verdana" w:hAnsi="Verdana"/>
          <w:sz w:val="20"/>
          <w:szCs w:val="20"/>
        </w:rPr>
        <w:t xml:space="preserve">(Fonds wallon Kyoto – 2.000.000 euros) </w:t>
      </w:r>
      <w:r w:rsidRPr="00C358AF">
        <w:rPr>
          <w:rFonts w:ascii="Verdana" w:hAnsi="Verdana" w:cs="Verdana"/>
          <w:sz w:val="20"/>
          <w:szCs w:val="20"/>
        </w:rPr>
        <w:t>et est défini comme suit :</w:t>
      </w:r>
    </w:p>
    <w:p w:rsidR="005E02B7" w:rsidRPr="00C358AF" w:rsidRDefault="005E02B7" w:rsidP="005E02B7">
      <w:pPr>
        <w:jc w:val="both"/>
        <w:rPr>
          <w:rFonts w:ascii="Verdana" w:hAnsi="Verdana" w:cs="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1"/>
        <w:gridCol w:w="2223"/>
        <w:gridCol w:w="2224"/>
      </w:tblGrid>
      <w:tr w:rsidR="005E02B7" w:rsidRPr="00C358AF" w:rsidTr="00D12C65">
        <w:tc>
          <w:tcPr>
            <w:tcW w:w="5211" w:type="dxa"/>
          </w:tcPr>
          <w:p w:rsidR="005E02B7" w:rsidRPr="00C358AF" w:rsidRDefault="005E02B7" w:rsidP="00D12C65">
            <w:pPr>
              <w:jc w:val="both"/>
              <w:rPr>
                <w:rFonts w:ascii="Verdana" w:hAnsi="Verdana" w:cs="Verdana"/>
                <w:b/>
                <w:sz w:val="20"/>
                <w:szCs w:val="20"/>
              </w:rPr>
            </w:pPr>
            <w:r w:rsidRPr="00C358AF">
              <w:rPr>
                <w:rFonts w:ascii="Verdana" w:hAnsi="Verdana" w:cs="Verdana"/>
                <w:b/>
                <w:sz w:val="20"/>
                <w:szCs w:val="20"/>
              </w:rPr>
              <w:t>Projets éligibles</w:t>
            </w:r>
          </w:p>
        </w:tc>
        <w:tc>
          <w:tcPr>
            <w:tcW w:w="2283" w:type="dxa"/>
          </w:tcPr>
          <w:p w:rsidR="005E02B7" w:rsidRPr="00C358AF" w:rsidRDefault="005E02B7" w:rsidP="00D12C65">
            <w:pPr>
              <w:jc w:val="center"/>
              <w:rPr>
                <w:rFonts w:ascii="Verdana" w:hAnsi="Verdana" w:cs="Verdana"/>
                <w:b/>
                <w:sz w:val="20"/>
                <w:szCs w:val="20"/>
              </w:rPr>
            </w:pPr>
            <w:r w:rsidRPr="00C358AF">
              <w:rPr>
                <w:rFonts w:ascii="Verdana" w:hAnsi="Verdana" w:cs="Verdana"/>
                <w:b/>
                <w:sz w:val="20"/>
                <w:szCs w:val="20"/>
              </w:rPr>
              <w:t>Pourcentage d’intervention</w:t>
            </w:r>
          </w:p>
        </w:tc>
        <w:tc>
          <w:tcPr>
            <w:tcW w:w="2284" w:type="dxa"/>
          </w:tcPr>
          <w:p w:rsidR="005E02B7" w:rsidRPr="00C358AF" w:rsidRDefault="005E02B7" w:rsidP="00D12C65">
            <w:pPr>
              <w:jc w:val="center"/>
              <w:rPr>
                <w:rFonts w:ascii="Verdana" w:hAnsi="Verdana" w:cs="Verdana"/>
                <w:b/>
                <w:sz w:val="20"/>
                <w:szCs w:val="20"/>
              </w:rPr>
            </w:pPr>
            <w:r w:rsidRPr="00C358AF">
              <w:rPr>
                <w:rFonts w:ascii="Verdana" w:hAnsi="Verdana" w:cs="Verdana"/>
                <w:b/>
                <w:sz w:val="20"/>
                <w:szCs w:val="20"/>
              </w:rPr>
              <w:t>Montant maximum d’intervention</w:t>
            </w:r>
          </w:p>
        </w:tc>
      </w:tr>
      <w:tr w:rsidR="005E02B7" w:rsidRPr="00C358AF" w:rsidTr="00D12C65">
        <w:tc>
          <w:tcPr>
            <w:tcW w:w="5211" w:type="dxa"/>
          </w:tcPr>
          <w:p w:rsidR="005E02B7" w:rsidRPr="00C358AF" w:rsidRDefault="005E02B7" w:rsidP="00D12C65">
            <w:pPr>
              <w:jc w:val="both"/>
              <w:rPr>
                <w:rFonts w:ascii="Verdana" w:hAnsi="Verdana" w:cs="Verdana"/>
                <w:sz w:val="20"/>
                <w:szCs w:val="20"/>
              </w:rPr>
            </w:pPr>
            <w:r w:rsidRPr="00C358AF">
              <w:rPr>
                <w:rFonts w:ascii="Verdana" w:hAnsi="Verdana"/>
                <w:sz w:val="20"/>
                <w:szCs w:val="20"/>
              </w:rPr>
              <w:t>Projets voitures </w:t>
            </w:r>
          </w:p>
        </w:tc>
        <w:tc>
          <w:tcPr>
            <w:tcW w:w="2283" w:type="dxa"/>
          </w:tcPr>
          <w:p w:rsidR="005E02B7" w:rsidRPr="00C358AF" w:rsidRDefault="005E02B7" w:rsidP="00D12C65">
            <w:pPr>
              <w:jc w:val="center"/>
              <w:rPr>
                <w:rFonts w:ascii="Verdana" w:hAnsi="Verdana" w:cs="Verdana"/>
                <w:sz w:val="20"/>
                <w:szCs w:val="20"/>
              </w:rPr>
            </w:pPr>
            <w:r w:rsidRPr="00C358AF">
              <w:rPr>
                <w:rFonts w:ascii="Verdana" w:hAnsi="Verdana" w:cs="Verdana"/>
                <w:sz w:val="20"/>
                <w:szCs w:val="20"/>
              </w:rPr>
              <w:t>50</w:t>
            </w:r>
          </w:p>
        </w:tc>
        <w:tc>
          <w:tcPr>
            <w:tcW w:w="2284" w:type="dxa"/>
          </w:tcPr>
          <w:p w:rsidR="005E02B7" w:rsidRPr="00C358AF" w:rsidRDefault="005E02B7" w:rsidP="00D12C65">
            <w:pPr>
              <w:jc w:val="center"/>
              <w:rPr>
                <w:rFonts w:ascii="Verdana" w:hAnsi="Verdana" w:cs="Verdana"/>
                <w:sz w:val="20"/>
                <w:szCs w:val="20"/>
              </w:rPr>
            </w:pPr>
            <w:r w:rsidRPr="00C358AF">
              <w:rPr>
                <w:rFonts w:ascii="Verdana" w:hAnsi="Verdana" w:cs="Verdana"/>
                <w:sz w:val="20"/>
                <w:szCs w:val="20"/>
              </w:rPr>
              <w:t>1.000.000 €</w:t>
            </w:r>
          </w:p>
        </w:tc>
      </w:tr>
      <w:tr w:rsidR="005E02B7" w:rsidRPr="00C358AF" w:rsidTr="00D12C65">
        <w:tc>
          <w:tcPr>
            <w:tcW w:w="5211" w:type="dxa"/>
          </w:tcPr>
          <w:p w:rsidR="005E02B7" w:rsidRPr="00C358AF" w:rsidRDefault="005E02B7" w:rsidP="00D12C65">
            <w:pPr>
              <w:jc w:val="both"/>
              <w:rPr>
                <w:rFonts w:ascii="Verdana" w:hAnsi="Verdana"/>
                <w:sz w:val="20"/>
                <w:szCs w:val="20"/>
              </w:rPr>
            </w:pPr>
            <w:r w:rsidRPr="00C358AF">
              <w:rPr>
                <w:rFonts w:ascii="Verdana" w:hAnsi="Verdana"/>
                <w:sz w:val="20"/>
                <w:szCs w:val="20"/>
              </w:rPr>
              <w:t>Projets mobylettes/scooters</w:t>
            </w:r>
          </w:p>
        </w:tc>
        <w:tc>
          <w:tcPr>
            <w:tcW w:w="2283" w:type="dxa"/>
          </w:tcPr>
          <w:p w:rsidR="005E02B7" w:rsidRPr="00C358AF" w:rsidRDefault="005E02B7" w:rsidP="00D12C65">
            <w:pPr>
              <w:jc w:val="center"/>
              <w:rPr>
                <w:rFonts w:ascii="Verdana" w:hAnsi="Verdana" w:cs="Verdana"/>
                <w:sz w:val="20"/>
                <w:szCs w:val="20"/>
              </w:rPr>
            </w:pPr>
            <w:r w:rsidRPr="00C358AF">
              <w:rPr>
                <w:rFonts w:ascii="Verdana" w:hAnsi="Verdana" w:cs="Verdana"/>
                <w:sz w:val="20"/>
                <w:szCs w:val="20"/>
              </w:rPr>
              <w:t>50</w:t>
            </w:r>
          </w:p>
        </w:tc>
        <w:tc>
          <w:tcPr>
            <w:tcW w:w="2284" w:type="dxa"/>
          </w:tcPr>
          <w:p w:rsidR="005E02B7" w:rsidRPr="00C358AF" w:rsidRDefault="005E02B7" w:rsidP="00D12C65">
            <w:pPr>
              <w:jc w:val="center"/>
              <w:rPr>
                <w:rFonts w:ascii="Verdana" w:hAnsi="Verdana" w:cs="Verdana"/>
                <w:sz w:val="20"/>
                <w:szCs w:val="20"/>
              </w:rPr>
            </w:pPr>
            <w:r w:rsidRPr="00C358AF">
              <w:rPr>
                <w:rFonts w:ascii="Verdana" w:hAnsi="Verdana" w:cs="Verdana"/>
                <w:sz w:val="20"/>
                <w:szCs w:val="20"/>
              </w:rPr>
              <w:t>500.000 €</w:t>
            </w:r>
          </w:p>
        </w:tc>
      </w:tr>
      <w:tr w:rsidR="005E02B7" w:rsidRPr="00C358AF" w:rsidTr="00D12C65">
        <w:tc>
          <w:tcPr>
            <w:tcW w:w="5211" w:type="dxa"/>
          </w:tcPr>
          <w:p w:rsidR="005E02B7" w:rsidRPr="00C358AF" w:rsidRDefault="005E02B7" w:rsidP="00D12C65">
            <w:pPr>
              <w:jc w:val="both"/>
              <w:rPr>
                <w:rFonts w:ascii="Verdana" w:hAnsi="Verdana" w:cs="Verdana"/>
                <w:sz w:val="20"/>
                <w:szCs w:val="20"/>
              </w:rPr>
            </w:pPr>
            <w:r w:rsidRPr="00C358AF">
              <w:rPr>
                <w:rFonts w:ascii="Verdana" w:hAnsi="Verdana" w:cs="Verdana"/>
                <w:sz w:val="20"/>
                <w:szCs w:val="20"/>
              </w:rPr>
              <w:t xml:space="preserve">Projets vélos ou trottinettes </w:t>
            </w:r>
          </w:p>
        </w:tc>
        <w:tc>
          <w:tcPr>
            <w:tcW w:w="2283" w:type="dxa"/>
          </w:tcPr>
          <w:p w:rsidR="005E02B7" w:rsidRPr="00C358AF" w:rsidRDefault="005E02B7" w:rsidP="00D12C65">
            <w:pPr>
              <w:jc w:val="center"/>
              <w:rPr>
                <w:rFonts w:ascii="Verdana" w:hAnsi="Verdana" w:cs="Verdana"/>
                <w:sz w:val="20"/>
                <w:szCs w:val="20"/>
              </w:rPr>
            </w:pPr>
            <w:r w:rsidRPr="00C358AF">
              <w:rPr>
                <w:rFonts w:ascii="Verdana" w:hAnsi="Verdana" w:cs="Verdana"/>
                <w:sz w:val="20"/>
                <w:szCs w:val="20"/>
              </w:rPr>
              <w:t>50</w:t>
            </w:r>
          </w:p>
        </w:tc>
        <w:tc>
          <w:tcPr>
            <w:tcW w:w="2284" w:type="dxa"/>
          </w:tcPr>
          <w:p w:rsidR="005E02B7" w:rsidRPr="00C358AF" w:rsidRDefault="005E02B7" w:rsidP="00D12C65">
            <w:pPr>
              <w:jc w:val="center"/>
              <w:rPr>
                <w:rFonts w:ascii="Verdana" w:hAnsi="Verdana" w:cs="Verdana"/>
                <w:sz w:val="20"/>
                <w:szCs w:val="20"/>
              </w:rPr>
            </w:pPr>
            <w:r w:rsidRPr="00C358AF">
              <w:rPr>
                <w:rFonts w:ascii="Verdana" w:hAnsi="Verdana" w:cs="Verdana"/>
                <w:sz w:val="20"/>
                <w:szCs w:val="20"/>
              </w:rPr>
              <w:t>500.000 €</w:t>
            </w:r>
          </w:p>
        </w:tc>
      </w:tr>
    </w:tbl>
    <w:p w:rsidR="005E02B7" w:rsidRPr="00C358AF" w:rsidRDefault="005E02B7" w:rsidP="005E02B7">
      <w:pPr>
        <w:ind w:left="720"/>
        <w:jc w:val="both"/>
        <w:rPr>
          <w:rFonts w:ascii="Verdana" w:hAnsi="Verdana" w:cs="Verdana"/>
          <w:sz w:val="20"/>
          <w:szCs w:val="20"/>
        </w:rPr>
      </w:pPr>
    </w:p>
    <w:p w:rsidR="005E02B7" w:rsidRPr="00C358AF" w:rsidRDefault="005E02B7" w:rsidP="005E02B7">
      <w:pPr>
        <w:jc w:val="both"/>
        <w:rPr>
          <w:rFonts w:ascii="Verdana" w:hAnsi="Verdana" w:cs="Verdana"/>
          <w:sz w:val="20"/>
          <w:szCs w:val="20"/>
        </w:rPr>
      </w:pPr>
      <w:r w:rsidRPr="00C358AF">
        <w:rPr>
          <w:rFonts w:ascii="Verdana" w:hAnsi="Verdana" w:cs="Verdana"/>
          <w:sz w:val="20"/>
          <w:szCs w:val="20"/>
        </w:rPr>
        <w:t xml:space="preserve">Tout proposant est autorisé à introduire plusieurs portefeuilles de projets. </w:t>
      </w:r>
    </w:p>
    <w:p w:rsidR="005E02B7" w:rsidRPr="00C358AF" w:rsidRDefault="005E02B7" w:rsidP="005E02B7">
      <w:pPr>
        <w:jc w:val="both"/>
        <w:rPr>
          <w:rFonts w:ascii="Verdana" w:hAnsi="Verdana" w:cs="Verdana"/>
          <w:sz w:val="20"/>
          <w:szCs w:val="20"/>
        </w:rPr>
      </w:pPr>
    </w:p>
    <w:p w:rsidR="005E02B7" w:rsidRPr="00C358AF" w:rsidRDefault="005E02B7" w:rsidP="005E02B7">
      <w:pPr>
        <w:jc w:val="both"/>
        <w:rPr>
          <w:rFonts w:ascii="Verdana" w:hAnsi="Verdana" w:cs="Verdana"/>
          <w:sz w:val="20"/>
          <w:szCs w:val="20"/>
        </w:rPr>
      </w:pPr>
      <w:r w:rsidRPr="00C358AF">
        <w:rPr>
          <w:rFonts w:ascii="Verdana" w:hAnsi="Verdana" w:cs="Verdana"/>
          <w:sz w:val="20"/>
          <w:szCs w:val="20"/>
        </w:rPr>
        <w:t>Les projets reprenant plus d’un moyen de locomotion permettent un cumul des interventions.</w:t>
      </w:r>
    </w:p>
    <w:p w:rsidR="005E02B7" w:rsidRPr="00C358AF" w:rsidRDefault="005E02B7" w:rsidP="005E02B7">
      <w:pPr>
        <w:jc w:val="both"/>
        <w:rPr>
          <w:rFonts w:ascii="Verdana" w:hAnsi="Verdana" w:cs="Verdana"/>
          <w:sz w:val="20"/>
          <w:szCs w:val="20"/>
        </w:rPr>
      </w:pPr>
    </w:p>
    <w:p w:rsidR="005E02B7" w:rsidRPr="00C358AF" w:rsidRDefault="005E02B7" w:rsidP="005E02B7">
      <w:pPr>
        <w:jc w:val="both"/>
        <w:rPr>
          <w:rFonts w:ascii="Verdana" w:hAnsi="Verdana"/>
          <w:b/>
          <w:sz w:val="20"/>
          <w:szCs w:val="20"/>
          <w:u w:val="single"/>
        </w:rPr>
      </w:pPr>
      <w:r w:rsidRPr="00C358AF">
        <w:rPr>
          <w:rFonts w:ascii="Verdana" w:hAnsi="Verdana"/>
          <w:b/>
          <w:sz w:val="20"/>
          <w:szCs w:val="20"/>
          <w:u w:val="single"/>
        </w:rPr>
        <w:t>Eligibilité</w:t>
      </w:r>
    </w:p>
    <w:p w:rsidR="005E02B7" w:rsidRPr="00C358AF" w:rsidRDefault="005E02B7" w:rsidP="005E02B7">
      <w:pPr>
        <w:jc w:val="both"/>
        <w:rPr>
          <w:rFonts w:ascii="Verdana" w:hAnsi="Verdana"/>
          <w:sz w:val="20"/>
          <w:szCs w:val="20"/>
        </w:rPr>
      </w:pPr>
    </w:p>
    <w:p w:rsidR="005E02B7" w:rsidRPr="00C358AF" w:rsidRDefault="005E02B7" w:rsidP="005E02B7">
      <w:pPr>
        <w:jc w:val="both"/>
        <w:rPr>
          <w:rFonts w:ascii="Verdana" w:hAnsi="Verdana"/>
          <w:sz w:val="20"/>
          <w:szCs w:val="20"/>
        </w:rPr>
      </w:pPr>
      <w:r w:rsidRPr="00C358AF">
        <w:rPr>
          <w:rFonts w:ascii="Verdana" w:hAnsi="Verdana"/>
          <w:sz w:val="20"/>
          <w:szCs w:val="20"/>
        </w:rPr>
        <w:t>Les porteurs de projet seront des acteurs privés tels que des entreprises commerciales ou des associations dotées de la personnalité juridique. Le porteur de projet devra pouvoir garantir la pérennité du projet. Le présent appel est également ouvert à des opérateurs privés établis en société commerciales et dont le siège est domicilié dans un des pays de l’Union européenne.</w:t>
      </w:r>
    </w:p>
    <w:p w:rsidR="005E02B7" w:rsidRPr="00C358AF" w:rsidRDefault="005E02B7" w:rsidP="005E02B7">
      <w:pPr>
        <w:jc w:val="both"/>
        <w:rPr>
          <w:rFonts w:ascii="Verdana" w:hAnsi="Verdana"/>
          <w:sz w:val="20"/>
          <w:szCs w:val="20"/>
        </w:rPr>
      </w:pPr>
    </w:p>
    <w:p w:rsidR="005E02B7" w:rsidRPr="00C358AF" w:rsidRDefault="005E02B7" w:rsidP="005E02B7">
      <w:pPr>
        <w:jc w:val="both"/>
        <w:rPr>
          <w:rFonts w:ascii="Verdana" w:hAnsi="Verdana"/>
          <w:b/>
          <w:sz w:val="20"/>
          <w:szCs w:val="20"/>
          <w:u w:val="single"/>
        </w:rPr>
      </w:pPr>
      <w:r w:rsidRPr="00C358AF">
        <w:rPr>
          <w:rFonts w:ascii="Verdana" w:hAnsi="Verdana"/>
          <w:b/>
          <w:sz w:val="20"/>
          <w:szCs w:val="20"/>
          <w:u w:val="single"/>
        </w:rPr>
        <w:t xml:space="preserve">Accessibilité des infrastructures pour les projets en « free </w:t>
      </w:r>
      <w:proofErr w:type="spellStart"/>
      <w:r w:rsidRPr="00C358AF">
        <w:rPr>
          <w:rFonts w:ascii="Verdana" w:hAnsi="Verdana"/>
          <w:b/>
          <w:sz w:val="20"/>
          <w:szCs w:val="20"/>
          <w:u w:val="single"/>
        </w:rPr>
        <w:t>floating</w:t>
      </w:r>
      <w:proofErr w:type="spellEnd"/>
      <w:r w:rsidRPr="00C358AF">
        <w:rPr>
          <w:rFonts w:ascii="Verdana" w:hAnsi="Verdana"/>
          <w:b/>
          <w:sz w:val="20"/>
          <w:szCs w:val="20"/>
          <w:u w:val="single"/>
        </w:rPr>
        <w:t> »</w:t>
      </w:r>
    </w:p>
    <w:p w:rsidR="005E02B7" w:rsidRPr="00C358AF" w:rsidRDefault="005E02B7" w:rsidP="005E02B7">
      <w:pPr>
        <w:jc w:val="both"/>
        <w:rPr>
          <w:rFonts w:ascii="Verdana" w:hAnsi="Verdana"/>
          <w:sz w:val="20"/>
          <w:szCs w:val="20"/>
        </w:rPr>
      </w:pPr>
    </w:p>
    <w:p w:rsidR="005E02B7" w:rsidRPr="00C358AF" w:rsidRDefault="005E02B7" w:rsidP="005E02B7">
      <w:pPr>
        <w:jc w:val="both"/>
        <w:rPr>
          <w:rFonts w:ascii="Verdana" w:hAnsi="Verdana"/>
          <w:sz w:val="20"/>
          <w:szCs w:val="20"/>
        </w:rPr>
      </w:pPr>
      <w:r w:rsidRPr="00C358AF">
        <w:rPr>
          <w:rFonts w:ascii="Verdana" w:hAnsi="Verdana"/>
          <w:sz w:val="20"/>
          <w:szCs w:val="20"/>
        </w:rPr>
        <w:t xml:space="preserve">Dans le cas des projets déployant des flottes de véhicules en « free </w:t>
      </w:r>
      <w:proofErr w:type="spellStart"/>
      <w:r w:rsidRPr="00C358AF">
        <w:rPr>
          <w:rFonts w:ascii="Verdana" w:hAnsi="Verdana"/>
          <w:sz w:val="20"/>
          <w:szCs w:val="20"/>
        </w:rPr>
        <w:t>floating</w:t>
      </w:r>
      <w:proofErr w:type="spellEnd"/>
      <w:r w:rsidRPr="00C358AF">
        <w:rPr>
          <w:rFonts w:ascii="Verdana" w:hAnsi="Verdana"/>
          <w:sz w:val="20"/>
          <w:szCs w:val="20"/>
        </w:rPr>
        <w:t> » et pour autant que ce type d’infrastructure soit prévu dans le projet, l’opérateur doit permettre un accès des infrastructures de chargement déployées à des propriétaires de véhicules électriques particuliers sans que ces derniers n’aient un accès prioritaire à de telles installations.</w:t>
      </w:r>
    </w:p>
    <w:p w:rsidR="005E02B7" w:rsidRPr="00C358AF" w:rsidRDefault="005E02B7" w:rsidP="005E02B7">
      <w:pPr>
        <w:jc w:val="both"/>
        <w:rPr>
          <w:rFonts w:ascii="Verdana" w:hAnsi="Verdana"/>
          <w:sz w:val="20"/>
          <w:szCs w:val="20"/>
        </w:rPr>
      </w:pPr>
    </w:p>
    <w:p w:rsidR="005E02B7" w:rsidRPr="00C358AF" w:rsidRDefault="005E02B7" w:rsidP="005E02B7">
      <w:pPr>
        <w:jc w:val="both"/>
        <w:rPr>
          <w:rFonts w:ascii="Verdana" w:hAnsi="Verdana"/>
          <w:sz w:val="20"/>
          <w:szCs w:val="20"/>
          <w:lang w:eastAsia="fr-BE"/>
        </w:rPr>
      </w:pPr>
      <w:r w:rsidRPr="00C358AF">
        <w:rPr>
          <w:rFonts w:ascii="Verdana" w:hAnsi="Verdana"/>
          <w:sz w:val="20"/>
          <w:szCs w:val="20"/>
        </w:rPr>
        <w:t>L</w:t>
      </w:r>
      <w:r w:rsidRPr="00C358AF">
        <w:rPr>
          <w:rFonts w:ascii="Verdana" w:hAnsi="Verdana"/>
          <w:sz w:val="20"/>
          <w:szCs w:val="20"/>
          <w:lang w:eastAsia="fr-BE"/>
        </w:rPr>
        <w:t xml:space="preserve">es porteurs de projet doivent en garantir un accès à ces infrastructures 24 heures sur 24 et 7 jours sur 7. Conformément à l’article 4, alinéa 9 de la Directive 2014/94/UE : « Tous les points de rechargement ouverts au public prévoient, en outre, la possibilité d'un rechargement ad hoc pour les utilisateurs de véhicules électriques sans souscription d'un contrat avec le fournisseur d'électricité ou l'exploitant concerné ». </w:t>
      </w:r>
    </w:p>
    <w:p w:rsidR="005E02B7" w:rsidRPr="00C358AF" w:rsidRDefault="005E02B7" w:rsidP="005E02B7">
      <w:pPr>
        <w:jc w:val="both"/>
        <w:rPr>
          <w:rFonts w:ascii="Verdana" w:hAnsi="Verdana"/>
          <w:sz w:val="20"/>
          <w:szCs w:val="20"/>
          <w:lang w:eastAsia="fr-BE"/>
        </w:rPr>
      </w:pPr>
    </w:p>
    <w:p w:rsidR="005E02B7" w:rsidRPr="00C358AF" w:rsidRDefault="005E02B7" w:rsidP="005E02B7">
      <w:pPr>
        <w:jc w:val="both"/>
        <w:rPr>
          <w:rFonts w:ascii="Verdana" w:hAnsi="Verdana"/>
          <w:sz w:val="20"/>
          <w:szCs w:val="20"/>
          <w:lang w:eastAsia="fr-BE"/>
        </w:rPr>
      </w:pPr>
      <w:r w:rsidRPr="00C358AF">
        <w:rPr>
          <w:rFonts w:ascii="Verdana" w:hAnsi="Verdana"/>
          <w:sz w:val="20"/>
          <w:szCs w:val="20"/>
          <w:lang w:eastAsia="fr-BE"/>
        </w:rPr>
        <w:t>Le mécanisme de vente de service de fourniture d’électricité devra être le plus universel possible en permettant le payement par abonnement fixe, par payement direct ou par utilisation d’autres abonnements préexistants.</w:t>
      </w:r>
    </w:p>
    <w:p w:rsidR="005E02B7" w:rsidRPr="00C358AF" w:rsidRDefault="005E02B7" w:rsidP="005E02B7">
      <w:pPr>
        <w:jc w:val="both"/>
        <w:rPr>
          <w:rFonts w:ascii="Verdana" w:hAnsi="Verdana"/>
          <w:sz w:val="20"/>
          <w:szCs w:val="20"/>
          <w:lang w:eastAsia="fr-BE"/>
        </w:rPr>
      </w:pPr>
    </w:p>
    <w:p w:rsidR="005E02B7" w:rsidRPr="00C358AF" w:rsidRDefault="005E02B7" w:rsidP="005E02B7">
      <w:pPr>
        <w:jc w:val="both"/>
        <w:rPr>
          <w:rFonts w:ascii="Verdana" w:hAnsi="Verdana"/>
          <w:sz w:val="20"/>
          <w:szCs w:val="20"/>
          <w:lang w:eastAsia="fr-BE"/>
        </w:rPr>
      </w:pPr>
      <w:r w:rsidRPr="00C358AF">
        <w:rPr>
          <w:rFonts w:ascii="Verdana" w:hAnsi="Verdana"/>
          <w:sz w:val="20"/>
          <w:szCs w:val="20"/>
          <w:lang w:eastAsia="fr-BE"/>
        </w:rPr>
        <w:t>Il sera également demandé que les emplacements visés aient un temps d’immobilisation limité pour chaque véhicule en cours de rechargement afin d’en permettre une optimisation de l’usage. Le projet devra explicitement spécifier les mesures envisagées afin de limiter le temps d’immobilisation.</w:t>
      </w:r>
    </w:p>
    <w:p w:rsidR="005E02B7" w:rsidRPr="00C358AF" w:rsidRDefault="005E02B7" w:rsidP="005E02B7">
      <w:pPr>
        <w:jc w:val="both"/>
        <w:rPr>
          <w:rFonts w:ascii="Verdana" w:hAnsi="Verdana" w:cs="Verdana"/>
          <w:sz w:val="20"/>
          <w:szCs w:val="20"/>
        </w:rPr>
      </w:pPr>
    </w:p>
    <w:p w:rsidR="005E02B7" w:rsidRPr="00C358AF" w:rsidRDefault="005E02B7" w:rsidP="005E02B7">
      <w:pPr>
        <w:jc w:val="both"/>
        <w:rPr>
          <w:rFonts w:ascii="Verdana" w:hAnsi="Verdana"/>
          <w:b/>
          <w:sz w:val="20"/>
          <w:szCs w:val="20"/>
          <w:u w:val="single"/>
        </w:rPr>
      </w:pPr>
      <w:r w:rsidRPr="00C358AF">
        <w:rPr>
          <w:rFonts w:ascii="Verdana" w:hAnsi="Verdana"/>
          <w:b/>
          <w:sz w:val="20"/>
          <w:szCs w:val="20"/>
          <w:u w:val="single"/>
        </w:rPr>
        <w:t>Synergies avec d’autres appels à projets</w:t>
      </w:r>
    </w:p>
    <w:p w:rsidR="005E02B7" w:rsidRPr="00C358AF" w:rsidRDefault="005E02B7" w:rsidP="005E02B7">
      <w:pPr>
        <w:jc w:val="both"/>
        <w:rPr>
          <w:rFonts w:ascii="Verdana" w:hAnsi="Verdana"/>
          <w:b/>
          <w:sz w:val="20"/>
          <w:szCs w:val="20"/>
          <w:u w:val="single"/>
        </w:rPr>
      </w:pPr>
    </w:p>
    <w:p w:rsidR="005E02B7" w:rsidRPr="00C358AF" w:rsidRDefault="005E02B7" w:rsidP="005E02B7">
      <w:pPr>
        <w:jc w:val="both"/>
        <w:rPr>
          <w:rFonts w:ascii="Verdana" w:hAnsi="Verdana"/>
          <w:sz w:val="20"/>
          <w:szCs w:val="20"/>
        </w:rPr>
      </w:pPr>
      <w:r w:rsidRPr="00C358AF">
        <w:rPr>
          <w:rFonts w:ascii="Verdana" w:hAnsi="Verdana"/>
          <w:sz w:val="20"/>
          <w:szCs w:val="20"/>
        </w:rPr>
        <w:t>Les porteurs de projet viseront à maximiser les synergies avec les opérateurs d’infrastructures de chargements qui introduiront un projet dans le cadre d’un des deux autres appels à projets.</w:t>
      </w:r>
    </w:p>
    <w:p w:rsidR="005E02B7" w:rsidRPr="00C358AF" w:rsidRDefault="005E02B7" w:rsidP="005E02B7">
      <w:pPr>
        <w:jc w:val="both"/>
        <w:rPr>
          <w:rFonts w:ascii="Verdana" w:hAnsi="Verdana"/>
          <w:b/>
          <w:sz w:val="20"/>
          <w:szCs w:val="20"/>
          <w:u w:val="single"/>
        </w:rPr>
      </w:pPr>
    </w:p>
    <w:p w:rsidR="005E02B7" w:rsidRPr="00C358AF" w:rsidRDefault="005E02B7" w:rsidP="005E02B7">
      <w:pPr>
        <w:jc w:val="both"/>
        <w:rPr>
          <w:rFonts w:ascii="Verdana" w:hAnsi="Verdana"/>
          <w:b/>
          <w:sz w:val="20"/>
          <w:szCs w:val="20"/>
          <w:u w:val="single"/>
        </w:rPr>
      </w:pPr>
      <w:r w:rsidRPr="00C358AF">
        <w:rPr>
          <w:rFonts w:ascii="Verdana" w:hAnsi="Verdana"/>
          <w:b/>
          <w:sz w:val="20"/>
          <w:szCs w:val="20"/>
          <w:u w:val="single"/>
        </w:rPr>
        <w:t>Zones géographiques</w:t>
      </w:r>
    </w:p>
    <w:p w:rsidR="005E02B7" w:rsidRPr="00C358AF" w:rsidRDefault="005E02B7" w:rsidP="005E02B7">
      <w:pPr>
        <w:jc w:val="both"/>
        <w:rPr>
          <w:rFonts w:ascii="Verdana" w:hAnsi="Verdana"/>
          <w:sz w:val="20"/>
          <w:szCs w:val="20"/>
        </w:rPr>
      </w:pPr>
    </w:p>
    <w:p w:rsidR="005E02B7" w:rsidRPr="00C358AF" w:rsidRDefault="005E02B7" w:rsidP="005E02B7">
      <w:pPr>
        <w:jc w:val="both"/>
        <w:rPr>
          <w:rFonts w:ascii="Verdana" w:hAnsi="Verdana"/>
          <w:sz w:val="20"/>
          <w:szCs w:val="20"/>
        </w:rPr>
      </w:pPr>
      <w:r w:rsidRPr="00C358AF">
        <w:rPr>
          <w:rFonts w:ascii="Verdana" w:hAnsi="Verdana"/>
          <w:sz w:val="20"/>
          <w:szCs w:val="20"/>
        </w:rPr>
        <w:t xml:space="preserve">Les porteurs de projet devront définir l’intégration de leur(s) projet(s) dans une stratégie globale liée tant aux besoins du territoire de référence que dans le cadre des enjeux liés à la mobilité. Par territoire de référence, il est entendu tant les zones urbaines, </w:t>
      </w:r>
      <w:proofErr w:type="spellStart"/>
      <w:r w:rsidRPr="00C358AF">
        <w:rPr>
          <w:rFonts w:ascii="Verdana" w:hAnsi="Verdana"/>
          <w:sz w:val="20"/>
          <w:szCs w:val="20"/>
        </w:rPr>
        <w:t>péri-urbaines</w:t>
      </w:r>
      <w:proofErr w:type="spellEnd"/>
      <w:r w:rsidRPr="00C358AF">
        <w:rPr>
          <w:rFonts w:ascii="Verdana" w:hAnsi="Verdana"/>
          <w:sz w:val="20"/>
          <w:szCs w:val="20"/>
        </w:rPr>
        <w:t xml:space="preserve">, les zones d’intérêt économiques que les zones rurales. Les infrastructures peuvent être envisagées tant sur le réseau routier structurant que le réseau non structurant. </w:t>
      </w:r>
    </w:p>
    <w:p w:rsidR="005E02B7" w:rsidRPr="00C358AF" w:rsidRDefault="005E02B7" w:rsidP="005E02B7">
      <w:pPr>
        <w:jc w:val="both"/>
        <w:rPr>
          <w:rFonts w:ascii="Verdana" w:hAnsi="Verdana"/>
          <w:sz w:val="20"/>
          <w:szCs w:val="20"/>
        </w:rPr>
      </w:pPr>
    </w:p>
    <w:p w:rsidR="005E02B7" w:rsidRPr="00C358AF" w:rsidRDefault="005E02B7" w:rsidP="005E02B7">
      <w:pPr>
        <w:jc w:val="both"/>
        <w:rPr>
          <w:rFonts w:ascii="Verdana" w:hAnsi="Verdana"/>
          <w:sz w:val="20"/>
          <w:szCs w:val="20"/>
        </w:rPr>
      </w:pPr>
      <w:r w:rsidRPr="00C358AF">
        <w:rPr>
          <w:rFonts w:ascii="Verdana" w:hAnsi="Verdana"/>
          <w:sz w:val="20"/>
          <w:szCs w:val="20"/>
        </w:rPr>
        <w:t xml:space="preserve">En ce qui concerne les projets déployant des voitures partagées, le bassin d’exploitation peut être une ville ou un ensemble de communes limitrophes représentant une population globale de 100.000 habitants ou plus. </w:t>
      </w:r>
    </w:p>
    <w:p w:rsidR="005E02B7" w:rsidRPr="00C358AF" w:rsidRDefault="005E02B7" w:rsidP="005E02B7">
      <w:pPr>
        <w:jc w:val="both"/>
        <w:rPr>
          <w:rFonts w:ascii="Verdana" w:hAnsi="Verdana"/>
          <w:sz w:val="20"/>
          <w:szCs w:val="20"/>
        </w:rPr>
      </w:pPr>
    </w:p>
    <w:p w:rsidR="005E02B7" w:rsidRPr="00C358AF" w:rsidRDefault="005E02B7" w:rsidP="005E02B7">
      <w:pPr>
        <w:jc w:val="both"/>
        <w:rPr>
          <w:rFonts w:ascii="Verdana" w:hAnsi="Verdana"/>
          <w:sz w:val="20"/>
          <w:szCs w:val="20"/>
        </w:rPr>
      </w:pPr>
      <w:r w:rsidRPr="00C358AF">
        <w:rPr>
          <w:rFonts w:ascii="Verdana" w:hAnsi="Verdana"/>
          <w:sz w:val="20"/>
          <w:szCs w:val="20"/>
        </w:rPr>
        <w:t xml:space="preserve">En ce qui concerne les projets déployant des mobylettes/scooters partagés, le bassin d’exploitation peut être une ville ou un ensemble de communes limitrophes représentant une population globale de 50.000 habitants ou plus. </w:t>
      </w:r>
    </w:p>
    <w:p w:rsidR="005E02B7" w:rsidRPr="00C358AF" w:rsidRDefault="005E02B7" w:rsidP="005E02B7">
      <w:pPr>
        <w:jc w:val="both"/>
        <w:rPr>
          <w:rFonts w:ascii="Verdana" w:hAnsi="Verdana"/>
          <w:sz w:val="20"/>
          <w:szCs w:val="20"/>
        </w:rPr>
      </w:pPr>
    </w:p>
    <w:p w:rsidR="005E02B7" w:rsidRPr="00C358AF" w:rsidRDefault="005E02B7" w:rsidP="005E02B7">
      <w:pPr>
        <w:jc w:val="both"/>
        <w:rPr>
          <w:rFonts w:ascii="Verdana" w:hAnsi="Verdana"/>
          <w:sz w:val="20"/>
          <w:szCs w:val="20"/>
        </w:rPr>
      </w:pPr>
      <w:r w:rsidRPr="00C358AF">
        <w:rPr>
          <w:rFonts w:ascii="Verdana" w:hAnsi="Verdana"/>
          <w:sz w:val="20"/>
          <w:szCs w:val="20"/>
        </w:rPr>
        <w:t xml:space="preserve">En ce qui concerne les projets déployant des vélos ou trottinettes partagées, le bassin d’exploitation peut être une ville ou un ensemble de communes limitrophes représentant une population globale de 25.000 habitants ou plus. </w:t>
      </w:r>
    </w:p>
    <w:p w:rsidR="005E02B7" w:rsidRPr="00C358AF" w:rsidRDefault="005E02B7" w:rsidP="005E02B7">
      <w:pPr>
        <w:jc w:val="both"/>
        <w:rPr>
          <w:rFonts w:ascii="Verdana" w:hAnsi="Verdana"/>
          <w:sz w:val="20"/>
          <w:szCs w:val="20"/>
        </w:rPr>
      </w:pPr>
    </w:p>
    <w:p w:rsidR="005E02B7" w:rsidRPr="00C358AF" w:rsidRDefault="005E02B7" w:rsidP="005E02B7">
      <w:pPr>
        <w:jc w:val="both"/>
        <w:rPr>
          <w:rFonts w:ascii="Verdana" w:hAnsi="Verdana"/>
          <w:b/>
          <w:sz w:val="20"/>
          <w:szCs w:val="20"/>
          <w:u w:val="single"/>
        </w:rPr>
      </w:pPr>
      <w:r w:rsidRPr="00C358AF">
        <w:rPr>
          <w:rFonts w:ascii="Verdana" w:hAnsi="Verdana"/>
          <w:b/>
          <w:sz w:val="20"/>
          <w:szCs w:val="20"/>
          <w:u w:val="single"/>
        </w:rPr>
        <w:t>Typologie des infrastructures</w:t>
      </w:r>
    </w:p>
    <w:p w:rsidR="005E02B7" w:rsidRPr="00C358AF" w:rsidRDefault="005E02B7" w:rsidP="005E02B7">
      <w:pPr>
        <w:ind w:left="720"/>
        <w:jc w:val="both"/>
        <w:rPr>
          <w:rFonts w:ascii="Verdana" w:hAnsi="Verdana"/>
          <w:sz w:val="20"/>
          <w:szCs w:val="20"/>
        </w:rPr>
      </w:pPr>
    </w:p>
    <w:p w:rsidR="005E02B7" w:rsidRPr="00C358AF" w:rsidRDefault="005E02B7" w:rsidP="005E02B7">
      <w:pPr>
        <w:jc w:val="both"/>
        <w:rPr>
          <w:rFonts w:ascii="Verdana" w:hAnsi="Verdana"/>
          <w:sz w:val="20"/>
          <w:szCs w:val="20"/>
        </w:rPr>
      </w:pPr>
      <w:r w:rsidRPr="00C358AF">
        <w:rPr>
          <w:rFonts w:ascii="Verdana" w:hAnsi="Verdana"/>
          <w:sz w:val="20"/>
          <w:szCs w:val="20"/>
        </w:rPr>
        <w:t xml:space="preserve">Lorsque les infrastructures de chargement seront partagées, celles-ci devront être conformes aux prescrits de la Directive 2014/94/UE sur le déploiement d’une infrastructure en carburants alternatifs. </w:t>
      </w:r>
    </w:p>
    <w:p w:rsidR="005E02B7" w:rsidRPr="00C358AF" w:rsidRDefault="005E02B7" w:rsidP="005E02B7">
      <w:pPr>
        <w:jc w:val="both"/>
        <w:rPr>
          <w:rFonts w:ascii="Verdana" w:hAnsi="Verdana"/>
          <w:sz w:val="20"/>
          <w:szCs w:val="20"/>
        </w:rPr>
      </w:pPr>
    </w:p>
    <w:p w:rsidR="005E02B7" w:rsidRPr="00C358AF" w:rsidRDefault="005E02B7" w:rsidP="005E02B7">
      <w:pPr>
        <w:jc w:val="both"/>
        <w:rPr>
          <w:rFonts w:ascii="Verdana" w:hAnsi="Verdana"/>
          <w:sz w:val="20"/>
          <w:szCs w:val="20"/>
        </w:rPr>
      </w:pPr>
      <w:r w:rsidRPr="00C358AF">
        <w:rPr>
          <w:rFonts w:ascii="Verdana" w:hAnsi="Verdana"/>
          <w:sz w:val="20"/>
          <w:szCs w:val="20"/>
        </w:rPr>
        <w:lastRenderedPageBreak/>
        <w:t>Pour rappel, ces normes sont les suivantes :</w:t>
      </w:r>
    </w:p>
    <w:p w:rsidR="005E02B7" w:rsidRPr="00C358AF" w:rsidRDefault="005E02B7" w:rsidP="005E02B7">
      <w:pPr>
        <w:numPr>
          <w:ilvl w:val="0"/>
          <w:numId w:val="1"/>
        </w:numPr>
        <w:rPr>
          <w:rFonts w:ascii="Verdana" w:hAnsi="Verdana"/>
          <w:sz w:val="20"/>
          <w:szCs w:val="20"/>
          <w:lang w:eastAsia="fr-BE"/>
        </w:rPr>
      </w:pPr>
      <w:r w:rsidRPr="00C358AF">
        <w:rPr>
          <w:rFonts w:ascii="Verdana" w:hAnsi="Verdana"/>
          <w:sz w:val="20"/>
          <w:szCs w:val="20"/>
          <w:lang w:eastAsia="fr-BE"/>
        </w:rPr>
        <w:t>EN62196-2 Points de recharge électrique normaux pour véhicules à moteur ou pour les points de recharge à haute puissance en courant alternatif (CA)</w:t>
      </w:r>
    </w:p>
    <w:p w:rsidR="005E02B7" w:rsidRPr="00C358AF" w:rsidRDefault="005E02B7" w:rsidP="005E02B7">
      <w:pPr>
        <w:numPr>
          <w:ilvl w:val="0"/>
          <w:numId w:val="1"/>
        </w:numPr>
        <w:rPr>
          <w:rFonts w:ascii="Verdana" w:hAnsi="Verdana"/>
          <w:sz w:val="20"/>
          <w:szCs w:val="20"/>
          <w:lang w:eastAsia="fr-BE"/>
        </w:rPr>
      </w:pPr>
      <w:r w:rsidRPr="00C358AF">
        <w:rPr>
          <w:rFonts w:ascii="Verdana" w:hAnsi="Verdana"/>
          <w:sz w:val="20"/>
          <w:szCs w:val="20"/>
          <w:lang w:eastAsia="fr-BE"/>
        </w:rPr>
        <w:t>EN62196-3 Points de recharge à haute puissance en courant continu (CC)</w:t>
      </w:r>
    </w:p>
    <w:p w:rsidR="005E02B7" w:rsidRPr="00C358AF" w:rsidRDefault="005E02B7" w:rsidP="005E02B7">
      <w:pPr>
        <w:jc w:val="both"/>
        <w:rPr>
          <w:rFonts w:ascii="Verdana" w:hAnsi="Verdana"/>
          <w:vanish/>
          <w:sz w:val="20"/>
          <w:szCs w:val="20"/>
          <w:lang w:eastAsia="fr-BE"/>
        </w:rPr>
      </w:pPr>
    </w:p>
    <w:p w:rsidR="005E02B7" w:rsidRPr="00C358AF" w:rsidRDefault="005E02B7" w:rsidP="005E02B7">
      <w:pPr>
        <w:jc w:val="both"/>
        <w:rPr>
          <w:rFonts w:ascii="Verdana" w:hAnsi="Verdana" w:cs="Verdana"/>
          <w:sz w:val="20"/>
          <w:szCs w:val="20"/>
        </w:rPr>
      </w:pPr>
    </w:p>
    <w:p w:rsidR="005E02B7" w:rsidRPr="00C358AF" w:rsidRDefault="005E02B7" w:rsidP="005E02B7">
      <w:pPr>
        <w:jc w:val="both"/>
        <w:rPr>
          <w:rFonts w:ascii="Verdana" w:hAnsi="Verdana"/>
          <w:sz w:val="20"/>
          <w:szCs w:val="20"/>
        </w:rPr>
      </w:pPr>
      <w:r w:rsidRPr="00C358AF">
        <w:rPr>
          <w:rFonts w:ascii="Verdana" w:hAnsi="Verdana"/>
          <w:b/>
          <w:sz w:val="20"/>
          <w:szCs w:val="20"/>
          <w:u w:val="single"/>
        </w:rPr>
        <w:t>Mécanisme de remboursement de l’aide</w:t>
      </w:r>
    </w:p>
    <w:p w:rsidR="005E02B7" w:rsidRPr="00C358AF" w:rsidRDefault="005E02B7" w:rsidP="005E02B7">
      <w:pPr>
        <w:jc w:val="both"/>
        <w:rPr>
          <w:rFonts w:ascii="Verdana" w:hAnsi="Verdana"/>
          <w:sz w:val="20"/>
          <w:szCs w:val="20"/>
        </w:rPr>
      </w:pPr>
    </w:p>
    <w:p w:rsidR="005E02B7" w:rsidRPr="00C358AF" w:rsidRDefault="005E02B7" w:rsidP="005E02B7">
      <w:pPr>
        <w:jc w:val="both"/>
        <w:rPr>
          <w:rFonts w:ascii="Verdana" w:hAnsi="Verdana"/>
          <w:sz w:val="20"/>
          <w:szCs w:val="20"/>
        </w:rPr>
      </w:pPr>
      <w:r w:rsidRPr="00C358AF">
        <w:rPr>
          <w:rFonts w:ascii="Verdana" w:hAnsi="Verdana"/>
          <w:sz w:val="20"/>
          <w:szCs w:val="20"/>
        </w:rPr>
        <w:t xml:space="preserve">S’agissant d’un mécanisme de soutien par avance récupérable, un engagement inconditionnel sera demandé au porteur de projet. Un plan d’amortissement linéaire sera proposé par le porteur de projet et ensuite arrêté par le Gouvernement. Le porteur de projet pourra également proposer une période de remboursement prévue entre 5 et 7 ans afin de permettre au modèle économique de s’établir (les premières années étant généralement moins rentables que les dernières). </w:t>
      </w:r>
    </w:p>
    <w:p w:rsidR="005E02B7" w:rsidRPr="00C358AF" w:rsidRDefault="005E02B7" w:rsidP="005E02B7">
      <w:pPr>
        <w:jc w:val="both"/>
        <w:rPr>
          <w:rFonts w:ascii="Verdana" w:hAnsi="Verdana"/>
          <w:sz w:val="20"/>
          <w:szCs w:val="20"/>
        </w:rPr>
      </w:pPr>
    </w:p>
    <w:p w:rsidR="005E02B7" w:rsidRPr="00C358AF" w:rsidRDefault="005E02B7" w:rsidP="005E02B7">
      <w:pPr>
        <w:jc w:val="both"/>
        <w:rPr>
          <w:rFonts w:ascii="Verdana" w:hAnsi="Verdana"/>
          <w:sz w:val="20"/>
          <w:szCs w:val="20"/>
        </w:rPr>
      </w:pPr>
      <w:r w:rsidRPr="00C358AF">
        <w:rPr>
          <w:rFonts w:ascii="Verdana" w:hAnsi="Verdana"/>
          <w:sz w:val="20"/>
          <w:szCs w:val="20"/>
        </w:rPr>
        <w:t>Une formule de remboursement anticipé devra également être proposée par le porteur si la rentabilité s’avère proche des estimations théoriques.</w:t>
      </w:r>
    </w:p>
    <w:p w:rsidR="005E02B7" w:rsidRPr="00C358AF" w:rsidRDefault="005E02B7" w:rsidP="005E02B7">
      <w:pPr>
        <w:jc w:val="both"/>
        <w:rPr>
          <w:rFonts w:ascii="Verdana" w:hAnsi="Verdana"/>
          <w:sz w:val="20"/>
          <w:szCs w:val="20"/>
        </w:rPr>
      </w:pPr>
    </w:p>
    <w:p w:rsidR="005E02B7" w:rsidRPr="00C358AF" w:rsidRDefault="005E02B7" w:rsidP="005E02B7">
      <w:pPr>
        <w:jc w:val="both"/>
        <w:rPr>
          <w:rFonts w:ascii="Verdana" w:hAnsi="Verdana"/>
          <w:sz w:val="20"/>
          <w:szCs w:val="20"/>
        </w:rPr>
      </w:pPr>
      <w:r w:rsidRPr="00C358AF">
        <w:rPr>
          <w:rFonts w:ascii="Verdana" w:hAnsi="Verdana"/>
          <w:sz w:val="20"/>
          <w:szCs w:val="20"/>
        </w:rPr>
        <w:t>Un taux d’intérêt de 0,82% sera appliqué aux remboursements conformément aux dispositions du Règlement de la Commission (EC) No 794/2004 du 21 avril 2004 implémentant le Règlement du Conseil (EC) No 659/1999 (le taux d’actualisation est calculé en ajoutant 100 points de base au taux de base, celui-ci étant de -0,18% au 1</w:t>
      </w:r>
      <w:r w:rsidRPr="00C358AF">
        <w:rPr>
          <w:rFonts w:ascii="Verdana" w:hAnsi="Verdana"/>
          <w:sz w:val="20"/>
          <w:szCs w:val="20"/>
          <w:vertAlign w:val="superscript"/>
        </w:rPr>
        <w:t>er</w:t>
      </w:r>
      <w:r w:rsidRPr="00C358AF">
        <w:rPr>
          <w:rFonts w:ascii="Verdana" w:hAnsi="Verdana"/>
          <w:sz w:val="20"/>
          <w:szCs w:val="20"/>
        </w:rPr>
        <w:t xml:space="preserve"> janvier 2019).</w:t>
      </w:r>
    </w:p>
    <w:p w:rsidR="005E02B7" w:rsidRPr="00C358AF" w:rsidRDefault="005E02B7" w:rsidP="005E02B7">
      <w:pPr>
        <w:jc w:val="both"/>
        <w:rPr>
          <w:rFonts w:ascii="Verdana" w:hAnsi="Verdana"/>
          <w:sz w:val="20"/>
          <w:szCs w:val="20"/>
        </w:rPr>
      </w:pPr>
    </w:p>
    <w:p w:rsidR="005E02B7" w:rsidRPr="00C358AF" w:rsidRDefault="005E02B7" w:rsidP="005E02B7">
      <w:pPr>
        <w:jc w:val="both"/>
        <w:rPr>
          <w:rFonts w:ascii="Verdana" w:hAnsi="Verdana"/>
          <w:sz w:val="20"/>
          <w:szCs w:val="20"/>
        </w:rPr>
      </w:pPr>
      <w:r w:rsidRPr="00C358AF">
        <w:rPr>
          <w:rFonts w:ascii="Verdana" w:hAnsi="Verdana"/>
          <w:b/>
          <w:sz w:val="20"/>
          <w:szCs w:val="20"/>
          <w:u w:val="single"/>
        </w:rPr>
        <w:t>Eligibilité des dépenses</w:t>
      </w:r>
    </w:p>
    <w:p w:rsidR="005E02B7" w:rsidRPr="00C358AF" w:rsidRDefault="005E02B7" w:rsidP="005E02B7">
      <w:pPr>
        <w:jc w:val="both"/>
        <w:rPr>
          <w:rFonts w:ascii="Verdana" w:hAnsi="Verdana"/>
          <w:b/>
          <w:sz w:val="20"/>
          <w:szCs w:val="20"/>
          <w:u w:val="single"/>
        </w:rPr>
      </w:pPr>
    </w:p>
    <w:p w:rsidR="005E02B7" w:rsidRPr="00C358AF" w:rsidRDefault="005E02B7" w:rsidP="005E02B7">
      <w:pPr>
        <w:widowControl w:val="0"/>
        <w:numPr>
          <w:ilvl w:val="0"/>
          <w:numId w:val="2"/>
        </w:numPr>
        <w:suppressAutoHyphens/>
        <w:jc w:val="both"/>
        <w:rPr>
          <w:rFonts w:ascii="Verdana" w:hAnsi="Verdana"/>
          <w:b/>
          <w:sz w:val="20"/>
          <w:szCs w:val="20"/>
          <w:u w:val="single"/>
        </w:rPr>
      </w:pPr>
      <w:r w:rsidRPr="00C358AF">
        <w:rPr>
          <w:rFonts w:ascii="Verdana" w:hAnsi="Verdana"/>
          <w:b/>
          <w:sz w:val="20"/>
          <w:szCs w:val="20"/>
          <w:u w:val="single"/>
        </w:rPr>
        <w:t>Pour les bornes de chargement</w:t>
      </w:r>
    </w:p>
    <w:p w:rsidR="005E02B7" w:rsidRPr="00C358AF" w:rsidRDefault="005E02B7" w:rsidP="005E02B7">
      <w:pPr>
        <w:jc w:val="both"/>
        <w:rPr>
          <w:rFonts w:ascii="Verdana" w:hAnsi="Verdana"/>
          <w:b/>
          <w:sz w:val="20"/>
          <w:szCs w:val="20"/>
          <w:u w:val="single"/>
        </w:rPr>
      </w:pPr>
    </w:p>
    <w:p w:rsidR="005E02B7" w:rsidRPr="00C358AF" w:rsidRDefault="005E02B7" w:rsidP="005E02B7">
      <w:pPr>
        <w:rPr>
          <w:rFonts w:ascii="Verdana" w:hAnsi="Verdana"/>
          <w:sz w:val="20"/>
          <w:szCs w:val="20"/>
          <w:lang w:eastAsia="fr-BE"/>
        </w:rPr>
      </w:pPr>
      <w:r w:rsidRPr="00C358AF">
        <w:rPr>
          <w:rFonts w:ascii="Verdana" w:hAnsi="Verdana"/>
          <w:sz w:val="20"/>
          <w:szCs w:val="20"/>
          <w:lang w:eastAsia="fr-BE"/>
        </w:rPr>
        <w:t>Sont éligibles au financement :</w:t>
      </w:r>
    </w:p>
    <w:p w:rsidR="005E02B7" w:rsidRPr="00C358AF" w:rsidRDefault="005E02B7" w:rsidP="005E02B7">
      <w:pPr>
        <w:numPr>
          <w:ilvl w:val="0"/>
          <w:numId w:val="1"/>
        </w:numPr>
        <w:rPr>
          <w:rFonts w:ascii="Verdana" w:hAnsi="Verdana"/>
          <w:sz w:val="20"/>
          <w:szCs w:val="20"/>
          <w:lang w:eastAsia="fr-BE"/>
        </w:rPr>
      </w:pPr>
      <w:r w:rsidRPr="00C358AF">
        <w:rPr>
          <w:rFonts w:ascii="Verdana" w:hAnsi="Verdana"/>
          <w:sz w:val="20"/>
          <w:szCs w:val="20"/>
          <w:lang w:eastAsia="fr-BE"/>
        </w:rPr>
        <w:t>les frais d'acquisition de matériel et de logiciel ;</w:t>
      </w:r>
    </w:p>
    <w:p w:rsidR="005E02B7" w:rsidRPr="00C358AF" w:rsidRDefault="005E02B7" w:rsidP="005E02B7">
      <w:pPr>
        <w:numPr>
          <w:ilvl w:val="0"/>
          <w:numId w:val="1"/>
        </w:numPr>
        <w:rPr>
          <w:rFonts w:ascii="Verdana" w:hAnsi="Verdana"/>
          <w:sz w:val="20"/>
          <w:szCs w:val="20"/>
          <w:lang w:eastAsia="fr-BE"/>
        </w:rPr>
      </w:pPr>
      <w:r w:rsidRPr="00C358AF">
        <w:rPr>
          <w:rFonts w:ascii="Verdana" w:hAnsi="Verdana"/>
          <w:sz w:val="20"/>
          <w:szCs w:val="20"/>
          <w:lang w:eastAsia="fr-BE"/>
        </w:rPr>
        <w:t>les frais de raccordement ;</w:t>
      </w:r>
    </w:p>
    <w:p w:rsidR="005E02B7" w:rsidRPr="00C358AF" w:rsidRDefault="005E02B7" w:rsidP="005E02B7">
      <w:pPr>
        <w:numPr>
          <w:ilvl w:val="0"/>
          <w:numId w:val="1"/>
        </w:numPr>
        <w:rPr>
          <w:rFonts w:ascii="Verdana" w:hAnsi="Verdana"/>
          <w:sz w:val="20"/>
          <w:szCs w:val="20"/>
          <w:lang w:eastAsia="fr-BE"/>
        </w:rPr>
      </w:pPr>
      <w:r w:rsidRPr="00C358AF">
        <w:rPr>
          <w:rFonts w:ascii="Verdana" w:hAnsi="Verdana"/>
          <w:sz w:val="20"/>
          <w:szCs w:val="20"/>
          <w:lang w:eastAsia="fr-BE"/>
        </w:rPr>
        <w:t>les frais de modification d'infrastructure.</w:t>
      </w:r>
    </w:p>
    <w:p w:rsidR="005E02B7" w:rsidRPr="00C358AF" w:rsidRDefault="005E02B7" w:rsidP="005E02B7">
      <w:pPr>
        <w:jc w:val="both"/>
        <w:rPr>
          <w:rFonts w:ascii="Verdana" w:hAnsi="Verdana"/>
          <w:b/>
          <w:sz w:val="20"/>
          <w:szCs w:val="20"/>
          <w:u w:val="single"/>
        </w:rPr>
      </w:pPr>
    </w:p>
    <w:p w:rsidR="005E02B7" w:rsidRPr="00C358AF" w:rsidRDefault="005E02B7" w:rsidP="005E02B7">
      <w:pPr>
        <w:pStyle w:val="Paragraphedeliste"/>
        <w:widowControl w:val="0"/>
        <w:numPr>
          <w:ilvl w:val="0"/>
          <w:numId w:val="2"/>
        </w:numPr>
        <w:suppressAutoHyphens/>
        <w:jc w:val="both"/>
        <w:rPr>
          <w:rFonts w:ascii="Verdana" w:hAnsi="Verdana"/>
          <w:b/>
          <w:sz w:val="20"/>
          <w:szCs w:val="20"/>
          <w:u w:val="single"/>
          <w:lang w:val="fr-BE"/>
        </w:rPr>
      </w:pPr>
      <w:r w:rsidRPr="00C358AF">
        <w:rPr>
          <w:rFonts w:ascii="Verdana" w:hAnsi="Verdana"/>
          <w:b/>
          <w:sz w:val="20"/>
          <w:szCs w:val="20"/>
          <w:u w:val="single"/>
        </w:rPr>
        <w:t xml:space="preserve">Pour les </w:t>
      </w:r>
      <w:r w:rsidRPr="00C358AF">
        <w:rPr>
          <w:rFonts w:ascii="Verdana" w:hAnsi="Verdana"/>
          <w:b/>
          <w:sz w:val="20"/>
          <w:szCs w:val="20"/>
          <w:u w:val="single"/>
          <w:lang w:val="fr-BE"/>
        </w:rPr>
        <w:t>véhicules</w:t>
      </w:r>
    </w:p>
    <w:p w:rsidR="005E02B7" w:rsidRPr="00C358AF" w:rsidRDefault="005E02B7" w:rsidP="005E02B7">
      <w:pPr>
        <w:pStyle w:val="Paragraphedeliste"/>
        <w:ind w:left="0"/>
        <w:jc w:val="both"/>
        <w:rPr>
          <w:rFonts w:ascii="Verdana" w:hAnsi="Verdana" w:cs="Verdana"/>
          <w:sz w:val="20"/>
          <w:szCs w:val="20"/>
          <w:lang w:val="fr-BE"/>
        </w:rPr>
      </w:pPr>
    </w:p>
    <w:p w:rsidR="005E02B7" w:rsidRPr="00C358AF" w:rsidRDefault="005E02B7" w:rsidP="005E02B7">
      <w:pPr>
        <w:pStyle w:val="Paragraphedeliste"/>
        <w:ind w:left="0"/>
        <w:jc w:val="both"/>
        <w:rPr>
          <w:rFonts w:ascii="Verdana" w:hAnsi="Verdana" w:cs="Verdana"/>
          <w:sz w:val="20"/>
          <w:szCs w:val="20"/>
        </w:rPr>
      </w:pPr>
      <w:r w:rsidRPr="00C358AF">
        <w:rPr>
          <w:rFonts w:ascii="Verdana" w:hAnsi="Verdana" w:cs="Verdana"/>
          <w:sz w:val="20"/>
          <w:szCs w:val="20"/>
        </w:rPr>
        <w:t>Sont éligibles au financement :</w:t>
      </w:r>
    </w:p>
    <w:p w:rsidR="005E02B7" w:rsidRPr="00C358AF" w:rsidRDefault="005E02B7" w:rsidP="005E02B7">
      <w:pPr>
        <w:pStyle w:val="Paragraphedeliste"/>
        <w:ind w:left="0"/>
        <w:jc w:val="both"/>
        <w:rPr>
          <w:rFonts w:ascii="Verdana" w:hAnsi="Verdana" w:cs="Verdana"/>
          <w:sz w:val="20"/>
          <w:szCs w:val="20"/>
        </w:rPr>
      </w:pPr>
    </w:p>
    <w:p w:rsidR="005E02B7" w:rsidRPr="00C358AF" w:rsidRDefault="005E02B7" w:rsidP="005E02B7">
      <w:pPr>
        <w:pStyle w:val="Paragraphedeliste"/>
        <w:widowControl w:val="0"/>
        <w:numPr>
          <w:ilvl w:val="0"/>
          <w:numId w:val="1"/>
        </w:numPr>
        <w:suppressAutoHyphens/>
        <w:jc w:val="both"/>
        <w:rPr>
          <w:rFonts w:ascii="Verdana" w:hAnsi="Verdana" w:cs="Verdana"/>
          <w:sz w:val="20"/>
          <w:szCs w:val="20"/>
          <w:lang w:val="fr-BE"/>
        </w:rPr>
      </w:pPr>
      <w:r w:rsidRPr="00C358AF">
        <w:rPr>
          <w:rFonts w:ascii="Verdana" w:hAnsi="Verdana" w:cs="Verdana"/>
          <w:sz w:val="20"/>
          <w:szCs w:val="20"/>
          <w:lang w:val="fr-BE"/>
        </w:rPr>
        <w:t>L’acquisition des véhicules.</w:t>
      </w:r>
    </w:p>
    <w:p w:rsidR="005E02B7" w:rsidRPr="00C358AF" w:rsidRDefault="005E02B7" w:rsidP="005E02B7">
      <w:pPr>
        <w:pStyle w:val="Paragraphedeliste"/>
        <w:ind w:left="0"/>
        <w:jc w:val="both"/>
        <w:rPr>
          <w:rFonts w:ascii="Verdana" w:hAnsi="Verdana" w:cs="Verdana"/>
          <w:sz w:val="20"/>
          <w:szCs w:val="20"/>
        </w:rPr>
      </w:pPr>
    </w:p>
    <w:p w:rsidR="005E02B7" w:rsidRPr="00C358AF" w:rsidRDefault="005E02B7" w:rsidP="005E02B7">
      <w:pPr>
        <w:jc w:val="both"/>
        <w:rPr>
          <w:rFonts w:ascii="Verdana" w:hAnsi="Verdana"/>
          <w:b/>
          <w:sz w:val="20"/>
          <w:szCs w:val="20"/>
          <w:u w:val="single"/>
        </w:rPr>
      </w:pPr>
      <w:r w:rsidRPr="00C358AF">
        <w:rPr>
          <w:rFonts w:ascii="Verdana" w:hAnsi="Verdana"/>
          <w:b/>
          <w:sz w:val="20"/>
          <w:szCs w:val="20"/>
          <w:u w:val="single"/>
        </w:rPr>
        <w:t>Divers</w:t>
      </w:r>
    </w:p>
    <w:p w:rsidR="005E02B7" w:rsidRPr="00C358AF" w:rsidRDefault="005E02B7" w:rsidP="005E02B7">
      <w:pPr>
        <w:jc w:val="both"/>
        <w:rPr>
          <w:rFonts w:ascii="Calibri" w:hAnsi="Calibri"/>
          <w:sz w:val="20"/>
          <w:szCs w:val="20"/>
        </w:rPr>
      </w:pPr>
    </w:p>
    <w:p w:rsidR="005E02B7" w:rsidRPr="00C358AF" w:rsidRDefault="005E02B7" w:rsidP="005E02B7">
      <w:pPr>
        <w:pStyle w:val="Paragraphedeliste"/>
        <w:spacing w:after="200" w:line="276" w:lineRule="auto"/>
        <w:ind w:left="0"/>
        <w:contextualSpacing/>
        <w:jc w:val="both"/>
        <w:rPr>
          <w:rFonts w:ascii="Verdana" w:hAnsi="Verdana"/>
          <w:sz w:val="20"/>
          <w:szCs w:val="20"/>
          <w:lang w:val="fr-BE"/>
        </w:rPr>
      </w:pPr>
      <w:r w:rsidRPr="00C358AF">
        <w:rPr>
          <w:rFonts w:ascii="Verdana" w:hAnsi="Verdana"/>
          <w:sz w:val="20"/>
          <w:szCs w:val="20"/>
        </w:rPr>
        <w:t xml:space="preserve">Les villes et communes de la zone géographique sélectionnée seront </w:t>
      </w:r>
      <w:r w:rsidRPr="00C358AF">
        <w:rPr>
          <w:rFonts w:ascii="Verdana" w:hAnsi="Verdana"/>
          <w:b/>
          <w:sz w:val="20"/>
          <w:szCs w:val="20"/>
          <w:u w:val="single"/>
        </w:rPr>
        <w:t>obligatoirement</w:t>
      </w:r>
      <w:r w:rsidRPr="00C358AF">
        <w:rPr>
          <w:rFonts w:ascii="Verdana" w:hAnsi="Verdana"/>
          <w:sz w:val="20"/>
          <w:szCs w:val="20"/>
        </w:rPr>
        <w:t xml:space="preserve"> consultées dans le processus de déploiement. </w:t>
      </w:r>
      <w:r w:rsidRPr="00C358AF">
        <w:rPr>
          <w:rFonts w:ascii="Verdana" w:hAnsi="Verdana"/>
          <w:sz w:val="20"/>
          <w:szCs w:val="20"/>
          <w:lang w:val="fr-BE"/>
        </w:rPr>
        <w:t>Il conviendra en effet que ce type de projet soit mené conjointement par l</w:t>
      </w:r>
      <w:r w:rsidRPr="00C358AF">
        <w:rPr>
          <w:rFonts w:ascii="Verdana" w:hAnsi="Verdana"/>
          <w:sz w:val="20"/>
          <w:szCs w:val="20"/>
        </w:rPr>
        <w:t>es villes et communes</w:t>
      </w:r>
      <w:r w:rsidRPr="00C358AF">
        <w:rPr>
          <w:rFonts w:ascii="Verdana" w:hAnsi="Verdana"/>
          <w:sz w:val="20"/>
          <w:szCs w:val="20"/>
          <w:lang w:val="fr-BE"/>
        </w:rPr>
        <w:t xml:space="preserve"> qui devront pouvoir valider l’accès à leur territoire et faciliter le déploiement de ce type de projet.</w:t>
      </w:r>
    </w:p>
    <w:p w:rsidR="005E02B7" w:rsidRPr="00C358AF" w:rsidRDefault="005E02B7" w:rsidP="005E02B7">
      <w:pPr>
        <w:pStyle w:val="Paragraphedeliste"/>
        <w:spacing w:after="200" w:line="276" w:lineRule="auto"/>
        <w:ind w:left="0"/>
        <w:contextualSpacing/>
        <w:jc w:val="both"/>
        <w:rPr>
          <w:rFonts w:ascii="Verdana" w:hAnsi="Verdana"/>
          <w:sz w:val="20"/>
          <w:szCs w:val="20"/>
          <w:lang w:val="fr-BE"/>
        </w:rPr>
      </w:pPr>
    </w:p>
    <w:p w:rsidR="005E02B7" w:rsidRPr="00C358AF" w:rsidRDefault="005E02B7" w:rsidP="005E02B7">
      <w:pPr>
        <w:pStyle w:val="Paragraphedeliste"/>
        <w:spacing w:after="200" w:line="276" w:lineRule="auto"/>
        <w:ind w:left="0"/>
        <w:contextualSpacing/>
        <w:jc w:val="both"/>
        <w:rPr>
          <w:rFonts w:ascii="Verdana" w:hAnsi="Verdana"/>
          <w:sz w:val="20"/>
          <w:szCs w:val="20"/>
        </w:rPr>
      </w:pPr>
      <w:r w:rsidRPr="00C358AF">
        <w:rPr>
          <w:rFonts w:ascii="Verdana" w:hAnsi="Verdana"/>
          <w:sz w:val="20"/>
          <w:szCs w:val="20"/>
        </w:rPr>
        <w:t xml:space="preserve">L’intégration du déploiement des infrastructures dans le cadre d’une initiative POLLEC </w:t>
      </w:r>
      <w:r w:rsidRPr="00C358AF">
        <w:rPr>
          <w:rFonts w:ascii="Verdana" w:hAnsi="Verdana"/>
          <w:sz w:val="20"/>
          <w:szCs w:val="20"/>
          <w:lang w:val="fr-BE"/>
        </w:rPr>
        <w:t>sera également</w:t>
      </w:r>
      <w:r w:rsidRPr="00C358AF">
        <w:rPr>
          <w:rFonts w:ascii="Verdana" w:hAnsi="Verdana"/>
          <w:sz w:val="20"/>
          <w:szCs w:val="20"/>
        </w:rPr>
        <w:t xml:space="preserve"> </w:t>
      </w:r>
      <w:proofErr w:type="spellStart"/>
      <w:r w:rsidRPr="00C358AF">
        <w:rPr>
          <w:rFonts w:ascii="Verdana" w:hAnsi="Verdana"/>
          <w:sz w:val="20"/>
          <w:szCs w:val="20"/>
        </w:rPr>
        <w:t>privilégi</w:t>
      </w:r>
      <w:r w:rsidRPr="00C358AF">
        <w:rPr>
          <w:rFonts w:ascii="Verdana" w:hAnsi="Verdana"/>
          <w:sz w:val="20"/>
          <w:szCs w:val="20"/>
          <w:lang w:val="fr-BE"/>
        </w:rPr>
        <w:t>ée</w:t>
      </w:r>
      <w:proofErr w:type="spellEnd"/>
      <w:r w:rsidRPr="00C358AF">
        <w:rPr>
          <w:rFonts w:ascii="Verdana" w:hAnsi="Verdana"/>
          <w:sz w:val="20"/>
          <w:szCs w:val="20"/>
        </w:rPr>
        <w:t xml:space="preserve">. </w:t>
      </w:r>
    </w:p>
    <w:p w:rsidR="005E02B7" w:rsidRPr="00C358AF" w:rsidRDefault="005E02B7" w:rsidP="005E02B7">
      <w:pPr>
        <w:pStyle w:val="Paragraphedeliste"/>
        <w:spacing w:after="200" w:line="276" w:lineRule="auto"/>
        <w:ind w:left="0"/>
        <w:contextualSpacing/>
        <w:jc w:val="both"/>
        <w:rPr>
          <w:rFonts w:ascii="Verdana" w:hAnsi="Verdana"/>
          <w:sz w:val="20"/>
          <w:szCs w:val="20"/>
        </w:rPr>
      </w:pPr>
    </w:p>
    <w:p w:rsidR="005E02B7" w:rsidRPr="00C358AF" w:rsidRDefault="005E02B7" w:rsidP="005E02B7">
      <w:pPr>
        <w:pStyle w:val="Paragraphedeliste"/>
        <w:spacing w:after="200" w:line="276" w:lineRule="auto"/>
        <w:ind w:left="0"/>
        <w:contextualSpacing/>
        <w:jc w:val="both"/>
        <w:rPr>
          <w:rFonts w:ascii="Verdana" w:hAnsi="Verdana"/>
          <w:sz w:val="20"/>
          <w:szCs w:val="20"/>
          <w:lang w:val="fr-BE"/>
        </w:rPr>
      </w:pPr>
      <w:r w:rsidRPr="00C358AF">
        <w:rPr>
          <w:rFonts w:ascii="Verdana" w:hAnsi="Verdana"/>
          <w:sz w:val="20"/>
          <w:szCs w:val="20"/>
        </w:rPr>
        <w:t>En ce qui concerne l’infrastructure, le porteur de projet aura l’obligation de travailler en association avec le(s) GRD(s) de la zone.</w:t>
      </w:r>
    </w:p>
    <w:p w:rsidR="005E02B7" w:rsidRPr="00C358AF" w:rsidRDefault="005E02B7" w:rsidP="005E02B7">
      <w:pPr>
        <w:pStyle w:val="Paragraphedeliste"/>
        <w:spacing w:after="200" w:line="276" w:lineRule="auto"/>
        <w:ind w:left="0"/>
        <w:contextualSpacing/>
        <w:jc w:val="both"/>
        <w:rPr>
          <w:rFonts w:ascii="Verdana" w:hAnsi="Verdana"/>
          <w:sz w:val="20"/>
          <w:szCs w:val="20"/>
          <w:lang w:val="fr-BE"/>
        </w:rPr>
      </w:pPr>
    </w:p>
    <w:p w:rsidR="005E02B7" w:rsidRPr="00C358AF" w:rsidRDefault="005E02B7" w:rsidP="005E02B7">
      <w:pPr>
        <w:pStyle w:val="Paragraphedeliste"/>
        <w:spacing w:after="200" w:line="276" w:lineRule="auto"/>
        <w:ind w:left="0"/>
        <w:contextualSpacing/>
        <w:jc w:val="both"/>
        <w:rPr>
          <w:rFonts w:ascii="Verdana" w:hAnsi="Verdana"/>
          <w:sz w:val="20"/>
          <w:szCs w:val="20"/>
          <w:lang w:val="fr-BE"/>
        </w:rPr>
      </w:pPr>
      <w:r w:rsidRPr="00C358AF">
        <w:rPr>
          <w:rFonts w:ascii="Verdana" w:hAnsi="Verdana"/>
          <w:sz w:val="20"/>
          <w:szCs w:val="20"/>
          <w:lang w:val="fr-BE"/>
        </w:rPr>
        <w:t xml:space="preserve">Les prestataires retenus devront référencer le positionnement des bornes sur toute plateforme informatique </w:t>
      </w:r>
      <w:r w:rsidRPr="00C358AF">
        <w:rPr>
          <w:rFonts w:ascii="Verdana" w:hAnsi="Verdana"/>
          <w:i/>
          <w:sz w:val="20"/>
          <w:szCs w:val="20"/>
          <w:lang w:val="fr-BE"/>
        </w:rPr>
        <w:t>ad hoc</w:t>
      </w:r>
      <w:r w:rsidRPr="00C358AF">
        <w:rPr>
          <w:rFonts w:ascii="Verdana" w:hAnsi="Verdana"/>
          <w:sz w:val="20"/>
          <w:szCs w:val="20"/>
          <w:lang w:val="fr-BE"/>
        </w:rPr>
        <w:t xml:space="preserve"> lorsque celles-ci sont accessibles au grand public.</w:t>
      </w:r>
    </w:p>
    <w:p w:rsidR="005E02B7" w:rsidRPr="00C358AF" w:rsidRDefault="005E02B7" w:rsidP="005E02B7">
      <w:pPr>
        <w:pStyle w:val="Paragraphedeliste"/>
        <w:spacing w:after="200" w:line="276" w:lineRule="auto"/>
        <w:ind w:left="0"/>
        <w:contextualSpacing/>
        <w:jc w:val="both"/>
        <w:rPr>
          <w:rFonts w:ascii="Verdana" w:hAnsi="Verdana"/>
          <w:sz w:val="20"/>
          <w:szCs w:val="20"/>
          <w:lang w:val="fr-BE"/>
        </w:rPr>
      </w:pPr>
    </w:p>
    <w:p w:rsidR="005E02B7" w:rsidRPr="00C358AF" w:rsidRDefault="005E02B7" w:rsidP="005E02B7">
      <w:pPr>
        <w:pStyle w:val="Paragraphedeliste"/>
        <w:spacing w:after="200" w:line="276" w:lineRule="auto"/>
        <w:ind w:left="0"/>
        <w:contextualSpacing/>
        <w:jc w:val="both"/>
        <w:rPr>
          <w:rFonts w:ascii="Verdana" w:hAnsi="Verdana"/>
          <w:sz w:val="20"/>
          <w:szCs w:val="20"/>
          <w:lang w:val="fr-BE"/>
        </w:rPr>
      </w:pPr>
      <w:r w:rsidRPr="00C358AF">
        <w:rPr>
          <w:rFonts w:ascii="Verdana" w:hAnsi="Verdana"/>
          <w:sz w:val="20"/>
          <w:szCs w:val="20"/>
          <w:lang w:val="fr-BE"/>
        </w:rPr>
        <w:lastRenderedPageBreak/>
        <w:t>Les prestataires devront pouvoir transmettre à la Région toutes les statistiques d’utilisation des services déployés.</w:t>
      </w:r>
    </w:p>
    <w:p w:rsidR="005E02B7" w:rsidRPr="00C358AF" w:rsidRDefault="005E02B7" w:rsidP="005E02B7">
      <w:pPr>
        <w:pStyle w:val="Paragraphedeliste"/>
        <w:spacing w:after="200" w:line="276" w:lineRule="auto"/>
        <w:ind w:left="0"/>
        <w:contextualSpacing/>
        <w:jc w:val="both"/>
        <w:rPr>
          <w:rFonts w:ascii="Verdana" w:hAnsi="Verdana"/>
          <w:sz w:val="20"/>
          <w:szCs w:val="20"/>
          <w:lang w:val="fr-BE"/>
        </w:rPr>
      </w:pPr>
    </w:p>
    <w:p w:rsidR="005E02B7" w:rsidRPr="00C358AF" w:rsidRDefault="005E02B7" w:rsidP="005E02B7">
      <w:pPr>
        <w:jc w:val="both"/>
        <w:rPr>
          <w:rFonts w:ascii="Verdana" w:hAnsi="Verdana"/>
          <w:b/>
          <w:sz w:val="20"/>
          <w:szCs w:val="20"/>
          <w:u w:val="single"/>
        </w:rPr>
      </w:pPr>
      <w:r w:rsidRPr="00C358AF">
        <w:rPr>
          <w:rFonts w:ascii="Verdana" w:hAnsi="Verdana"/>
          <w:b/>
          <w:sz w:val="20"/>
          <w:szCs w:val="20"/>
          <w:u w:val="single"/>
        </w:rPr>
        <w:t>Procédure de dépôt des offres</w:t>
      </w:r>
    </w:p>
    <w:p w:rsidR="005E02B7" w:rsidRPr="00C358AF" w:rsidRDefault="005E02B7" w:rsidP="005E02B7">
      <w:pPr>
        <w:ind w:left="720"/>
        <w:jc w:val="both"/>
        <w:rPr>
          <w:rFonts w:ascii="Verdana" w:hAnsi="Verdana"/>
          <w:b/>
          <w:sz w:val="20"/>
          <w:szCs w:val="20"/>
          <w:u w:val="single"/>
        </w:rPr>
      </w:pPr>
    </w:p>
    <w:p w:rsidR="005E02B7" w:rsidRPr="00C358AF" w:rsidRDefault="005E02B7" w:rsidP="005E02B7">
      <w:pPr>
        <w:autoSpaceDE w:val="0"/>
        <w:autoSpaceDN w:val="0"/>
        <w:adjustRightInd w:val="0"/>
        <w:spacing w:after="120" w:line="276" w:lineRule="auto"/>
        <w:jc w:val="both"/>
        <w:rPr>
          <w:rFonts w:ascii="Verdana" w:hAnsi="Verdana"/>
          <w:sz w:val="20"/>
          <w:szCs w:val="20"/>
        </w:rPr>
      </w:pPr>
      <w:r w:rsidRPr="00C358AF">
        <w:rPr>
          <w:rFonts w:ascii="Verdana" w:hAnsi="Verdana"/>
          <w:sz w:val="20"/>
          <w:szCs w:val="20"/>
        </w:rPr>
        <w:t>Les offres seront remises en deux phases :</w:t>
      </w:r>
    </w:p>
    <w:p w:rsidR="005E02B7" w:rsidRPr="00C358AF" w:rsidRDefault="005E02B7" w:rsidP="005E02B7">
      <w:pPr>
        <w:widowControl w:val="0"/>
        <w:numPr>
          <w:ilvl w:val="0"/>
          <w:numId w:val="3"/>
        </w:numPr>
        <w:suppressAutoHyphens/>
        <w:autoSpaceDE w:val="0"/>
        <w:autoSpaceDN w:val="0"/>
        <w:adjustRightInd w:val="0"/>
        <w:spacing w:after="120" w:line="276" w:lineRule="auto"/>
        <w:jc w:val="both"/>
        <w:rPr>
          <w:rFonts w:ascii="Verdana" w:hAnsi="Verdana"/>
          <w:sz w:val="20"/>
          <w:szCs w:val="20"/>
        </w:rPr>
      </w:pPr>
      <w:r w:rsidRPr="00C358AF">
        <w:rPr>
          <w:rFonts w:ascii="Verdana" w:hAnsi="Verdana"/>
          <w:sz w:val="20"/>
          <w:szCs w:val="20"/>
        </w:rPr>
        <w:t xml:space="preserve">Pour la première étape, les soumissionnaires présenteront l’objectif souhaité de leur projet, les données administratives de la société, le budget indicatif, </w:t>
      </w:r>
      <w:r w:rsidRPr="00C358AF">
        <w:rPr>
          <w:rFonts w:ascii="Verdana" w:hAnsi="Verdana"/>
          <w:b/>
          <w:sz w:val="20"/>
          <w:szCs w:val="20"/>
        </w:rPr>
        <w:t>l’état d’avancement des négociations</w:t>
      </w:r>
      <w:r w:rsidRPr="00C358AF">
        <w:rPr>
          <w:rFonts w:ascii="Verdana" w:hAnsi="Verdana"/>
          <w:sz w:val="20"/>
          <w:szCs w:val="20"/>
        </w:rPr>
        <w:t xml:space="preserve"> pour le développement de leur projet, le modèle économique envisagé et tout élément susceptible de pouvoir être présenté.</w:t>
      </w:r>
    </w:p>
    <w:p w:rsidR="005E02B7" w:rsidRPr="00C358AF" w:rsidRDefault="005E02B7" w:rsidP="005E02B7">
      <w:pPr>
        <w:autoSpaceDE w:val="0"/>
        <w:autoSpaceDN w:val="0"/>
        <w:adjustRightInd w:val="0"/>
        <w:spacing w:after="120" w:line="276" w:lineRule="auto"/>
        <w:ind w:left="709"/>
        <w:jc w:val="both"/>
        <w:rPr>
          <w:rFonts w:ascii="Verdana" w:hAnsi="Verdana"/>
          <w:sz w:val="20"/>
          <w:szCs w:val="20"/>
        </w:rPr>
      </w:pPr>
      <w:r w:rsidRPr="00C358AF">
        <w:rPr>
          <w:rFonts w:ascii="Verdana" w:hAnsi="Verdana"/>
          <w:sz w:val="20"/>
          <w:szCs w:val="20"/>
        </w:rPr>
        <w:t xml:space="preserve">La date de dépôt de la phase 1 est fixée au </w:t>
      </w:r>
      <w:r w:rsidRPr="00C358AF">
        <w:rPr>
          <w:rFonts w:ascii="Verdana" w:hAnsi="Verdana"/>
          <w:b/>
          <w:sz w:val="20"/>
          <w:szCs w:val="20"/>
        </w:rPr>
        <w:t>15 avril 2019</w:t>
      </w:r>
      <w:r w:rsidRPr="00C358AF">
        <w:rPr>
          <w:rFonts w:ascii="Verdana" w:hAnsi="Verdana"/>
          <w:sz w:val="20"/>
          <w:szCs w:val="20"/>
        </w:rPr>
        <w:t>.</w:t>
      </w:r>
    </w:p>
    <w:p w:rsidR="005E02B7" w:rsidRPr="00C358AF" w:rsidRDefault="005E02B7" w:rsidP="005E02B7">
      <w:pPr>
        <w:widowControl w:val="0"/>
        <w:numPr>
          <w:ilvl w:val="0"/>
          <w:numId w:val="3"/>
        </w:numPr>
        <w:suppressAutoHyphens/>
        <w:autoSpaceDE w:val="0"/>
        <w:autoSpaceDN w:val="0"/>
        <w:adjustRightInd w:val="0"/>
        <w:spacing w:after="120" w:line="276" w:lineRule="auto"/>
        <w:jc w:val="both"/>
        <w:rPr>
          <w:rFonts w:ascii="Verdana" w:hAnsi="Verdana"/>
          <w:sz w:val="20"/>
          <w:szCs w:val="20"/>
        </w:rPr>
      </w:pPr>
      <w:r w:rsidRPr="00C358AF">
        <w:rPr>
          <w:rFonts w:ascii="Verdana" w:hAnsi="Verdana"/>
          <w:sz w:val="20"/>
          <w:szCs w:val="20"/>
        </w:rPr>
        <w:t>Pour la seconde étape, les soumissionnaires apporteront des précisions sur leur stratégie de déploiement, le budget définitif, les plans et implantations éventuelles, le modèle économique retenu, le plan de remboursement et tout élément susceptible de pouvoir être présenté.</w:t>
      </w:r>
    </w:p>
    <w:p w:rsidR="005E02B7" w:rsidRPr="00C358AF" w:rsidRDefault="005E02B7" w:rsidP="005E02B7">
      <w:pPr>
        <w:autoSpaceDE w:val="0"/>
        <w:autoSpaceDN w:val="0"/>
        <w:adjustRightInd w:val="0"/>
        <w:spacing w:after="120" w:line="276" w:lineRule="auto"/>
        <w:ind w:left="720"/>
        <w:jc w:val="both"/>
        <w:rPr>
          <w:rFonts w:ascii="Verdana" w:hAnsi="Verdana"/>
          <w:sz w:val="20"/>
          <w:szCs w:val="20"/>
        </w:rPr>
      </w:pPr>
      <w:r w:rsidRPr="00C358AF">
        <w:rPr>
          <w:rFonts w:ascii="Verdana" w:hAnsi="Verdana"/>
          <w:sz w:val="20"/>
          <w:szCs w:val="20"/>
        </w:rPr>
        <w:t xml:space="preserve">La date de dépôt de la phase 2 est fixée au </w:t>
      </w:r>
      <w:r w:rsidRPr="00C358AF">
        <w:rPr>
          <w:rFonts w:ascii="Verdana" w:hAnsi="Verdana"/>
          <w:b/>
          <w:sz w:val="20"/>
          <w:szCs w:val="20"/>
        </w:rPr>
        <w:t>01 juin 2019</w:t>
      </w:r>
      <w:r w:rsidRPr="00C358AF">
        <w:rPr>
          <w:rFonts w:ascii="Verdana" w:hAnsi="Verdana"/>
          <w:sz w:val="20"/>
          <w:szCs w:val="20"/>
        </w:rPr>
        <w:t>.</w:t>
      </w:r>
    </w:p>
    <w:p w:rsidR="005E02B7" w:rsidRPr="00C358AF" w:rsidRDefault="005E02B7" w:rsidP="005E02B7">
      <w:pPr>
        <w:autoSpaceDE w:val="0"/>
        <w:autoSpaceDN w:val="0"/>
        <w:adjustRightInd w:val="0"/>
        <w:spacing w:after="120" w:line="276" w:lineRule="auto"/>
        <w:jc w:val="both"/>
        <w:rPr>
          <w:rFonts w:ascii="Verdana" w:hAnsi="Verdana"/>
          <w:sz w:val="20"/>
          <w:szCs w:val="20"/>
        </w:rPr>
      </w:pPr>
      <w:r w:rsidRPr="00C358AF">
        <w:rPr>
          <w:rFonts w:ascii="Verdana" w:hAnsi="Verdana"/>
          <w:sz w:val="20"/>
          <w:szCs w:val="20"/>
        </w:rPr>
        <w:t xml:space="preserve">Les projets seront déposés à l’aide du formulaire joint à l’appel. </w:t>
      </w:r>
    </w:p>
    <w:p w:rsidR="005E02B7" w:rsidRPr="00C358AF" w:rsidRDefault="005E02B7" w:rsidP="005E02B7">
      <w:pPr>
        <w:autoSpaceDE w:val="0"/>
        <w:autoSpaceDN w:val="0"/>
        <w:adjustRightInd w:val="0"/>
        <w:spacing w:after="120" w:line="276" w:lineRule="auto"/>
        <w:jc w:val="both"/>
        <w:rPr>
          <w:rFonts w:ascii="Verdana" w:hAnsi="Verdana"/>
          <w:sz w:val="20"/>
          <w:szCs w:val="20"/>
        </w:rPr>
      </w:pPr>
      <w:r w:rsidRPr="00C358AF">
        <w:rPr>
          <w:rFonts w:ascii="Verdana" w:hAnsi="Verdana"/>
          <w:sz w:val="20"/>
          <w:szCs w:val="20"/>
        </w:rPr>
        <w:t xml:space="preserve">Dans les 10 jours calendrier qui suivent la date de dépôt de la phase 1, l’Administration signifie aux soumissionnaires l’invitation ou non à remettre offre à la phase 2. </w:t>
      </w:r>
    </w:p>
    <w:p w:rsidR="005E02B7" w:rsidRPr="00C358AF" w:rsidRDefault="005E02B7" w:rsidP="005E02B7">
      <w:pPr>
        <w:autoSpaceDE w:val="0"/>
        <w:autoSpaceDN w:val="0"/>
        <w:adjustRightInd w:val="0"/>
        <w:spacing w:after="120" w:line="276" w:lineRule="auto"/>
        <w:jc w:val="both"/>
        <w:rPr>
          <w:rFonts w:ascii="Verdana" w:hAnsi="Verdana"/>
          <w:b/>
          <w:sz w:val="20"/>
          <w:szCs w:val="20"/>
        </w:rPr>
      </w:pPr>
      <w:r w:rsidRPr="00C358AF">
        <w:rPr>
          <w:rFonts w:ascii="Verdana" w:hAnsi="Verdana"/>
          <w:b/>
          <w:sz w:val="20"/>
          <w:szCs w:val="20"/>
        </w:rPr>
        <w:t>Aucun soumissionnaire ne sera directement admis à la phase 2 sans avoir remis offre à la phase 1.</w:t>
      </w:r>
    </w:p>
    <w:p w:rsidR="005E02B7" w:rsidRPr="00C358AF" w:rsidRDefault="005E02B7" w:rsidP="005E02B7">
      <w:pPr>
        <w:jc w:val="both"/>
        <w:rPr>
          <w:rFonts w:ascii="Verdana" w:hAnsi="Verdana"/>
          <w:b/>
          <w:sz w:val="20"/>
          <w:szCs w:val="20"/>
          <w:u w:val="single"/>
        </w:rPr>
      </w:pPr>
      <w:r w:rsidRPr="00C358AF">
        <w:rPr>
          <w:rFonts w:ascii="Verdana" w:hAnsi="Verdana"/>
          <w:b/>
          <w:sz w:val="20"/>
          <w:szCs w:val="20"/>
          <w:u w:val="single"/>
        </w:rPr>
        <w:t>Documents requis au dépôt définitif des offres</w:t>
      </w:r>
    </w:p>
    <w:p w:rsidR="005E02B7" w:rsidRPr="00C358AF" w:rsidRDefault="005E02B7" w:rsidP="005E02B7">
      <w:pPr>
        <w:jc w:val="both"/>
        <w:rPr>
          <w:rFonts w:ascii="Verdana" w:hAnsi="Verdana"/>
          <w:b/>
          <w:sz w:val="20"/>
          <w:szCs w:val="20"/>
          <w:u w:val="single"/>
        </w:rPr>
      </w:pPr>
    </w:p>
    <w:p w:rsidR="005E02B7" w:rsidRPr="00C358AF" w:rsidRDefault="005E02B7" w:rsidP="005E02B7">
      <w:pPr>
        <w:jc w:val="both"/>
        <w:rPr>
          <w:rFonts w:ascii="Verdana" w:hAnsi="Verdana"/>
          <w:sz w:val="20"/>
          <w:szCs w:val="20"/>
        </w:rPr>
      </w:pPr>
      <w:r w:rsidRPr="00C358AF">
        <w:rPr>
          <w:rFonts w:ascii="Verdana" w:hAnsi="Verdana"/>
          <w:b/>
          <w:sz w:val="20"/>
          <w:szCs w:val="20"/>
        </w:rPr>
        <w:t>Sous peine de nullité absolue de l’offre</w:t>
      </w:r>
      <w:r w:rsidRPr="00C358AF">
        <w:rPr>
          <w:rFonts w:ascii="Verdana" w:hAnsi="Verdana"/>
          <w:sz w:val="20"/>
          <w:szCs w:val="20"/>
        </w:rPr>
        <w:t>, les soumissionnaires devront remettre, joint au formulaire définitif, les documents suivants :</w:t>
      </w:r>
    </w:p>
    <w:p w:rsidR="005E02B7" w:rsidRPr="00C358AF" w:rsidRDefault="005E02B7" w:rsidP="005E02B7">
      <w:pPr>
        <w:jc w:val="both"/>
        <w:rPr>
          <w:rFonts w:ascii="Verdana" w:hAnsi="Verdana"/>
          <w:sz w:val="20"/>
          <w:szCs w:val="20"/>
        </w:rPr>
      </w:pPr>
    </w:p>
    <w:p w:rsidR="005E02B7" w:rsidRPr="00C358AF" w:rsidRDefault="005E02B7" w:rsidP="005E02B7">
      <w:pPr>
        <w:numPr>
          <w:ilvl w:val="0"/>
          <w:numId w:val="1"/>
        </w:numPr>
        <w:jc w:val="both"/>
        <w:rPr>
          <w:rFonts w:ascii="Verdana" w:hAnsi="Verdana"/>
          <w:sz w:val="20"/>
          <w:szCs w:val="20"/>
        </w:rPr>
      </w:pPr>
      <w:r w:rsidRPr="00C358AF">
        <w:rPr>
          <w:rFonts w:ascii="Verdana" w:hAnsi="Verdana"/>
          <w:sz w:val="20"/>
          <w:szCs w:val="20"/>
        </w:rPr>
        <w:t>Le plan de remboursement attendu ;</w:t>
      </w:r>
    </w:p>
    <w:p w:rsidR="005E02B7" w:rsidRPr="00C358AF" w:rsidRDefault="005E02B7" w:rsidP="005E02B7">
      <w:pPr>
        <w:numPr>
          <w:ilvl w:val="0"/>
          <w:numId w:val="1"/>
        </w:numPr>
        <w:jc w:val="both"/>
        <w:rPr>
          <w:rFonts w:ascii="Verdana" w:hAnsi="Verdana"/>
          <w:sz w:val="20"/>
          <w:szCs w:val="20"/>
        </w:rPr>
      </w:pPr>
      <w:r w:rsidRPr="00C358AF">
        <w:rPr>
          <w:rFonts w:ascii="Verdana" w:hAnsi="Verdana"/>
          <w:sz w:val="20"/>
          <w:szCs w:val="20"/>
        </w:rPr>
        <w:t>Les comptes consolidés de l’année 2017 et provisoires (ou définitifs si disponibles) de 2018 ;</w:t>
      </w:r>
    </w:p>
    <w:p w:rsidR="005E02B7" w:rsidRPr="00C358AF" w:rsidRDefault="005E02B7" w:rsidP="005E02B7">
      <w:pPr>
        <w:numPr>
          <w:ilvl w:val="0"/>
          <w:numId w:val="1"/>
        </w:numPr>
        <w:jc w:val="both"/>
        <w:rPr>
          <w:rFonts w:ascii="Verdana" w:hAnsi="Verdana"/>
          <w:sz w:val="20"/>
          <w:szCs w:val="20"/>
        </w:rPr>
      </w:pPr>
      <w:r w:rsidRPr="00C358AF">
        <w:rPr>
          <w:rFonts w:ascii="Verdana" w:hAnsi="Verdana"/>
          <w:sz w:val="20"/>
          <w:szCs w:val="20"/>
        </w:rPr>
        <w:t>Un plan d’affaire du proposant sur les trois prochaines années (2019, 2020 et 2021) validés par le réviseur aux comptes de la société ou par toute société d’audit légalement habilitée à le valider ;</w:t>
      </w:r>
    </w:p>
    <w:p w:rsidR="005E02B7" w:rsidRPr="00C358AF" w:rsidRDefault="005E02B7" w:rsidP="005E02B7">
      <w:pPr>
        <w:numPr>
          <w:ilvl w:val="0"/>
          <w:numId w:val="1"/>
        </w:numPr>
        <w:jc w:val="both"/>
        <w:rPr>
          <w:rFonts w:ascii="Verdana" w:hAnsi="Verdana"/>
          <w:sz w:val="20"/>
          <w:szCs w:val="20"/>
        </w:rPr>
      </w:pPr>
      <w:r w:rsidRPr="00C358AF">
        <w:rPr>
          <w:rFonts w:ascii="Verdana" w:hAnsi="Verdana"/>
          <w:sz w:val="20"/>
          <w:szCs w:val="20"/>
        </w:rPr>
        <w:t>L’accord formel des villes et communes autorisant la mise en œuvre du projet sur leur(s) territoire(s).</w:t>
      </w:r>
    </w:p>
    <w:p w:rsidR="005E02B7" w:rsidRPr="00C358AF" w:rsidRDefault="005E02B7" w:rsidP="005E02B7">
      <w:pPr>
        <w:jc w:val="both"/>
        <w:rPr>
          <w:rFonts w:ascii="Verdana" w:hAnsi="Verdana"/>
          <w:sz w:val="20"/>
          <w:szCs w:val="20"/>
        </w:rPr>
      </w:pPr>
    </w:p>
    <w:p w:rsidR="005E02B7" w:rsidRPr="00C358AF" w:rsidRDefault="005E02B7" w:rsidP="005E02B7">
      <w:pPr>
        <w:jc w:val="both"/>
        <w:rPr>
          <w:rFonts w:ascii="Verdana" w:hAnsi="Verdana"/>
          <w:sz w:val="20"/>
          <w:szCs w:val="20"/>
        </w:rPr>
      </w:pPr>
      <w:r w:rsidRPr="00C358AF">
        <w:rPr>
          <w:rFonts w:ascii="Verdana" w:hAnsi="Verdana"/>
          <w:sz w:val="20"/>
          <w:szCs w:val="20"/>
        </w:rPr>
        <w:t>Ces documents permettront de déterminer si l’avance récupérable proposée pourra effectivement être remboursée par le soumissionnaire. En cas d’approbation du projet, des conditions spécifiques directement liées à la situation du soumissionnaire pourront être requises.</w:t>
      </w:r>
    </w:p>
    <w:p w:rsidR="005E02B7" w:rsidRPr="00C358AF" w:rsidRDefault="005E02B7" w:rsidP="005E02B7">
      <w:pPr>
        <w:jc w:val="both"/>
        <w:rPr>
          <w:rFonts w:ascii="Verdana" w:hAnsi="Verdana"/>
          <w:sz w:val="20"/>
          <w:szCs w:val="20"/>
        </w:rPr>
      </w:pPr>
    </w:p>
    <w:p w:rsidR="005E02B7" w:rsidRPr="00C358AF" w:rsidRDefault="005E02B7" w:rsidP="005E02B7">
      <w:pPr>
        <w:pStyle w:val="Paragraphedeliste"/>
        <w:ind w:left="0"/>
        <w:contextualSpacing/>
        <w:jc w:val="both"/>
        <w:rPr>
          <w:rFonts w:ascii="Verdana" w:hAnsi="Verdana"/>
          <w:b/>
          <w:sz w:val="20"/>
          <w:szCs w:val="20"/>
          <w:u w:val="single"/>
          <w:lang w:val="fr-BE"/>
        </w:rPr>
      </w:pPr>
      <w:r w:rsidRPr="00C358AF">
        <w:rPr>
          <w:rFonts w:ascii="Verdana" w:hAnsi="Verdana"/>
          <w:b/>
          <w:sz w:val="20"/>
          <w:szCs w:val="20"/>
          <w:u w:val="single"/>
          <w:lang w:val="fr-BE"/>
        </w:rPr>
        <w:t>Processus de sélection</w:t>
      </w:r>
    </w:p>
    <w:p w:rsidR="005E02B7" w:rsidRPr="00C358AF" w:rsidRDefault="005E02B7" w:rsidP="005E02B7">
      <w:pPr>
        <w:pStyle w:val="Paragraphedeliste"/>
        <w:ind w:left="0"/>
        <w:contextualSpacing/>
        <w:jc w:val="both"/>
        <w:rPr>
          <w:rFonts w:ascii="Verdana" w:hAnsi="Verdana"/>
          <w:sz w:val="20"/>
          <w:szCs w:val="20"/>
          <w:lang w:val="fr-BE"/>
        </w:rPr>
      </w:pPr>
    </w:p>
    <w:p w:rsidR="005E02B7" w:rsidRPr="00C358AF" w:rsidRDefault="005E02B7" w:rsidP="005E02B7">
      <w:pPr>
        <w:jc w:val="both"/>
        <w:rPr>
          <w:rFonts w:ascii="Verdana" w:hAnsi="Verdana"/>
          <w:noProof/>
          <w:sz w:val="20"/>
          <w:szCs w:val="20"/>
          <w:lang w:eastAsia="fr-BE"/>
        </w:rPr>
      </w:pPr>
      <w:r w:rsidRPr="00C358AF">
        <w:rPr>
          <w:rFonts w:ascii="Verdana" w:hAnsi="Verdana"/>
          <w:noProof/>
          <w:sz w:val="20"/>
          <w:szCs w:val="20"/>
          <w:lang w:eastAsia="fr-BE"/>
        </w:rPr>
        <w:t xml:space="preserve">La sélection définitive des projets par le Gouvernement se fera sur proposition du Ministre du Climat, après analyse de ceux-ci par le Département de l’Energie et du Bâtiment durable de la DGO4 en partenariat avec la DGO2 et l’Agence wallonne de l’Air et du Climat. </w:t>
      </w:r>
    </w:p>
    <w:p w:rsidR="005E02B7" w:rsidRPr="00C358AF" w:rsidRDefault="005E02B7" w:rsidP="005E02B7">
      <w:pPr>
        <w:pStyle w:val="Paragraphedeliste"/>
        <w:ind w:left="0"/>
        <w:jc w:val="both"/>
        <w:rPr>
          <w:rFonts w:ascii="Verdana" w:hAnsi="Verdana" w:cs="Verdana"/>
          <w:sz w:val="20"/>
          <w:szCs w:val="20"/>
          <w:lang w:val="fr-BE"/>
        </w:rPr>
      </w:pPr>
    </w:p>
    <w:p w:rsidR="005E02B7" w:rsidRPr="00C358AF" w:rsidRDefault="005E02B7" w:rsidP="005E02B7">
      <w:pPr>
        <w:jc w:val="both"/>
        <w:rPr>
          <w:rFonts w:ascii="Verdana" w:hAnsi="Verdana"/>
          <w:noProof/>
          <w:sz w:val="20"/>
          <w:szCs w:val="20"/>
          <w:lang w:eastAsia="fr-BE"/>
        </w:rPr>
      </w:pPr>
    </w:p>
    <w:p w:rsidR="005E02B7" w:rsidRPr="00C358AF" w:rsidRDefault="005E02B7" w:rsidP="005E02B7">
      <w:pPr>
        <w:pStyle w:val="Paragraphedeliste"/>
        <w:ind w:left="0"/>
        <w:jc w:val="both"/>
        <w:rPr>
          <w:rFonts w:ascii="Verdana" w:hAnsi="Verdana" w:cs="Verdana"/>
          <w:sz w:val="20"/>
          <w:szCs w:val="20"/>
          <w:lang w:val="fr-BE"/>
        </w:rPr>
      </w:pPr>
      <w:r w:rsidRPr="00C358AF">
        <w:rPr>
          <w:rFonts w:ascii="Verdana" w:hAnsi="Verdana" w:cs="Verdana"/>
          <w:sz w:val="20"/>
          <w:szCs w:val="20"/>
          <w:lang w:val="fr-BE"/>
        </w:rPr>
        <w:lastRenderedPageBreak/>
        <w:t>Outre les documents obligatoirement requis qui feront l’objet d’une analyse spécifique, l</w:t>
      </w:r>
      <w:r w:rsidRPr="00C358AF">
        <w:rPr>
          <w:rFonts w:ascii="Verdana" w:hAnsi="Verdana" w:cs="Verdana"/>
          <w:sz w:val="20"/>
          <w:szCs w:val="20"/>
        </w:rPr>
        <w:t>es projets seront évalués sur divers critères :</w:t>
      </w:r>
    </w:p>
    <w:p w:rsidR="005E02B7" w:rsidRPr="00C358AF" w:rsidRDefault="005E02B7" w:rsidP="005E02B7">
      <w:pPr>
        <w:pStyle w:val="Paragraphedeliste"/>
        <w:ind w:left="0"/>
        <w:jc w:val="both"/>
        <w:rPr>
          <w:rFonts w:ascii="Verdana" w:hAnsi="Verdana" w:cs="Verdana"/>
          <w:sz w:val="20"/>
          <w:szCs w:val="20"/>
          <w:lang w:val="fr-BE"/>
        </w:rPr>
      </w:pPr>
    </w:p>
    <w:p w:rsidR="005E02B7" w:rsidRPr="00C358AF" w:rsidRDefault="005E02B7" w:rsidP="005E02B7">
      <w:pPr>
        <w:pStyle w:val="Paragraphedeliste"/>
        <w:ind w:left="0"/>
        <w:jc w:val="both"/>
        <w:rPr>
          <w:rFonts w:ascii="Verdana" w:hAnsi="Verdana" w:cs="Verdana"/>
          <w:sz w:val="20"/>
          <w:szCs w:val="20"/>
          <w:lang w:val="fr-BE"/>
        </w:rPr>
      </w:pPr>
      <w:r w:rsidRPr="00C358AF">
        <w:rPr>
          <w:rFonts w:ascii="Verdana" w:hAnsi="Verdana" w:cs="Verdana"/>
          <w:sz w:val="20"/>
          <w:szCs w:val="20"/>
        </w:rPr>
        <w:t xml:space="preserve">1- </w:t>
      </w:r>
      <w:r w:rsidRPr="00C358AF">
        <w:rPr>
          <w:rFonts w:ascii="Verdana" w:hAnsi="Verdana" w:cs="Verdana"/>
          <w:sz w:val="20"/>
          <w:szCs w:val="20"/>
          <w:lang w:val="fr-BE"/>
        </w:rPr>
        <w:t>Expérience</w:t>
      </w:r>
      <w:r w:rsidRPr="00C358AF">
        <w:rPr>
          <w:rFonts w:ascii="Verdana" w:hAnsi="Verdana" w:cs="Verdana"/>
          <w:sz w:val="20"/>
          <w:szCs w:val="20"/>
        </w:rPr>
        <w:t xml:space="preserve"> du proposant ou du consortium : </w:t>
      </w:r>
      <w:r w:rsidRPr="00C358AF">
        <w:rPr>
          <w:rFonts w:ascii="Verdana" w:hAnsi="Verdana" w:cs="Verdana"/>
          <w:sz w:val="20"/>
          <w:szCs w:val="20"/>
          <w:lang w:val="fr-BE"/>
        </w:rPr>
        <w:t>25</w:t>
      </w:r>
      <w:r w:rsidRPr="00C358AF">
        <w:rPr>
          <w:rFonts w:ascii="Verdana" w:hAnsi="Verdana" w:cs="Verdana"/>
          <w:sz w:val="20"/>
          <w:szCs w:val="20"/>
        </w:rPr>
        <w:t xml:space="preserve"> points</w:t>
      </w:r>
      <w:r w:rsidRPr="00C358AF">
        <w:rPr>
          <w:rFonts w:ascii="Verdana" w:hAnsi="Verdana" w:cs="Verdana"/>
          <w:sz w:val="20"/>
          <w:szCs w:val="20"/>
          <w:lang w:val="fr-BE"/>
        </w:rPr>
        <w:t xml:space="preserve">. Cette expérience sera évaluée en fonction des références motivées et relatives au type de projet déposé </w:t>
      </w:r>
      <w:r w:rsidRPr="00C358AF">
        <w:rPr>
          <w:rFonts w:ascii="Verdana" w:hAnsi="Verdana" w:cs="Verdana"/>
          <w:sz w:val="20"/>
          <w:szCs w:val="20"/>
        </w:rPr>
        <w:t>du proposant ou du consortium</w:t>
      </w:r>
      <w:r w:rsidRPr="00C358AF">
        <w:rPr>
          <w:rFonts w:ascii="Verdana" w:hAnsi="Verdana" w:cs="Verdana"/>
          <w:sz w:val="20"/>
          <w:szCs w:val="20"/>
          <w:lang w:val="fr-BE"/>
        </w:rPr>
        <w:t xml:space="preserve"> et de son habilité à mettre en œuvre et de gérer les infrastructures proposées.</w:t>
      </w:r>
    </w:p>
    <w:p w:rsidR="005E02B7" w:rsidRPr="00C358AF" w:rsidRDefault="005E02B7" w:rsidP="005E02B7">
      <w:pPr>
        <w:pStyle w:val="Paragraphedeliste"/>
        <w:ind w:left="0"/>
        <w:jc w:val="both"/>
        <w:rPr>
          <w:rFonts w:ascii="Verdana" w:hAnsi="Verdana" w:cs="Verdana"/>
          <w:sz w:val="20"/>
          <w:szCs w:val="20"/>
          <w:lang w:val="fr-BE"/>
        </w:rPr>
      </w:pPr>
      <w:r w:rsidRPr="00C358AF">
        <w:rPr>
          <w:rFonts w:ascii="Verdana" w:hAnsi="Verdana" w:cs="Verdana"/>
          <w:sz w:val="20"/>
          <w:szCs w:val="20"/>
        </w:rPr>
        <w:t xml:space="preserve">2- </w:t>
      </w:r>
      <w:r w:rsidRPr="00C358AF">
        <w:rPr>
          <w:rFonts w:ascii="Verdana" w:hAnsi="Verdana" w:cs="Verdana"/>
          <w:sz w:val="20"/>
          <w:szCs w:val="20"/>
          <w:lang w:val="fr-BE"/>
        </w:rPr>
        <w:t>Territoire</w:t>
      </w:r>
      <w:r w:rsidRPr="00C358AF">
        <w:rPr>
          <w:rFonts w:ascii="Verdana" w:hAnsi="Verdana" w:cs="Verdana"/>
          <w:sz w:val="20"/>
          <w:szCs w:val="20"/>
        </w:rPr>
        <w:t xml:space="preserve"> de référence : </w:t>
      </w:r>
      <w:r w:rsidRPr="00C358AF">
        <w:rPr>
          <w:rFonts w:ascii="Verdana" w:hAnsi="Verdana" w:cs="Verdana"/>
          <w:sz w:val="20"/>
          <w:szCs w:val="20"/>
          <w:lang w:val="fr-BE"/>
        </w:rPr>
        <w:t>25</w:t>
      </w:r>
      <w:r w:rsidRPr="00C358AF">
        <w:rPr>
          <w:rFonts w:ascii="Verdana" w:hAnsi="Verdana" w:cs="Verdana"/>
          <w:sz w:val="20"/>
          <w:szCs w:val="20"/>
        </w:rPr>
        <w:t xml:space="preserve"> points</w:t>
      </w:r>
      <w:r w:rsidRPr="00C358AF">
        <w:rPr>
          <w:rFonts w:ascii="Verdana" w:hAnsi="Verdana" w:cs="Verdana"/>
          <w:sz w:val="20"/>
          <w:szCs w:val="20"/>
          <w:lang w:val="fr-BE"/>
        </w:rPr>
        <w:t>. Afin de quantifier cet aspect, le proposant ou le consortium définira précisément le territoire sur lequel le déploiement sera effectué en précisant comment celui-ci a été défini. Un territoire avec une offre actuelle limitée sera favorisé, ainsi que les territoires où une demande potentiellement importante pourra être démontrée.</w:t>
      </w:r>
      <w:r>
        <w:rPr>
          <w:rFonts w:ascii="Verdana" w:hAnsi="Verdana" w:cs="Verdana"/>
          <w:sz w:val="20"/>
          <w:szCs w:val="20"/>
          <w:lang w:val="fr-BE"/>
        </w:rPr>
        <w:t xml:space="preserve"> L’attribution des points prendra en considération la manière dont a été prise en compte la stratégie régionale de mobilité et en particulier le lien avec les </w:t>
      </w:r>
      <w:proofErr w:type="spellStart"/>
      <w:r>
        <w:rPr>
          <w:rFonts w:ascii="Verdana" w:hAnsi="Verdana" w:cs="Verdana"/>
          <w:sz w:val="20"/>
          <w:szCs w:val="20"/>
          <w:lang w:val="fr-BE"/>
        </w:rPr>
        <w:t>mobipôles</w:t>
      </w:r>
      <w:proofErr w:type="spellEnd"/>
      <w:r>
        <w:rPr>
          <w:rFonts w:ascii="Verdana" w:hAnsi="Verdana" w:cs="Verdana"/>
          <w:sz w:val="20"/>
          <w:szCs w:val="20"/>
          <w:lang w:val="fr-BE"/>
        </w:rPr>
        <w:t xml:space="preserve"> et les </w:t>
      </w:r>
      <w:proofErr w:type="spellStart"/>
      <w:r>
        <w:rPr>
          <w:rFonts w:ascii="Verdana" w:hAnsi="Verdana" w:cs="Verdana"/>
          <w:sz w:val="20"/>
          <w:szCs w:val="20"/>
          <w:lang w:val="fr-BE"/>
        </w:rPr>
        <w:t>mobipoints</w:t>
      </w:r>
      <w:proofErr w:type="spellEnd"/>
      <w:r>
        <w:rPr>
          <w:rFonts w:ascii="Verdana" w:hAnsi="Verdana" w:cs="Verdana"/>
          <w:sz w:val="20"/>
          <w:szCs w:val="20"/>
          <w:lang w:val="fr-BE"/>
        </w:rPr>
        <w:t>.</w:t>
      </w:r>
    </w:p>
    <w:p w:rsidR="005E02B7" w:rsidRPr="00C358AF" w:rsidRDefault="005E02B7" w:rsidP="005E02B7">
      <w:pPr>
        <w:pStyle w:val="Paragraphedeliste"/>
        <w:ind w:left="0"/>
        <w:jc w:val="both"/>
        <w:rPr>
          <w:rFonts w:ascii="Verdana" w:hAnsi="Verdana" w:cs="Verdana"/>
          <w:sz w:val="20"/>
          <w:szCs w:val="20"/>
          <w:lang w:val="fr-BE"/>
        </w:rPr>
      </w:pPr>
      <w:r w:rsidRPr="00C358AF">
        <w:rPr>
          <w:rFonts w:ascii="Verdana" w:hAnsi="Verdana" w:cs="Verdana"/>
          <w:sz w:val="20"/>
          <w:szCs w:val="20"/>
        </w:rPr>
        <w:t xml:space="preserve">3- </w:t>
      </w:r>
      <w:r w:rsidRPr="00C358AF">
        <w:rPr>
          <w:rFonts w:ascii="Verdana" w:hAnsi="Verdana" w:cs="Verdana"/>
          <w:sz w:val="20"/>
          <w:szCs w:val="20"/>
          <w:lang w:val="fr-BE"/>
        </w:rPr>
        <w:t>Qualité du matériel</w:t>
      </w:r>
      <w:r w:rsidRPr="00C358AF">
        <w:rPr>
          <w:rFonts w:ascii="Verdana" w:hAnsi="Verdana" w:cs="Verdana"/>
          <w:sz w:val="20"/>
          <w:szCs w:val="20"/>
        </w:rPr>
        <w:t xml:space="preserve"> déployé : </w:t>
      </w:r>
      <w:r w:rsidRPr="00C358AF">
        <w:rPr>
          <w:rFonts w:ascii="Verdana" w:hAnsi="Verdana" w:cs="Verdana"/>
          <w:sz w:val="20"/>
          <w:szCs w:val="20"/>
          <w:lang w:val="fr-BE"/>
        </w:rPr>
        <w:t>25</w:t>
      </w:r>
      <w:r w:rsidRPr="00C358AF">
        <w:rPr>
          <w:rFonts w:ascii="Verdana" w:hAnsi="Verdana" w:cs="Verdana"/>
          <w:sz w:val="20"/>
          <w:szCs w:val="20"/>
        </w:rPr>
        <w:t xml:space="preserve"> points</w:t>
      </w:r>
      <w:r w:rsidRPr="00C358AF">
        <w:rPr>
          <w:rFonts w:ascii="Verdana" w:hAnsi="Verdana" w:cs="Verdana"/>
          <w:sz w:val="20"/>
          <w:szCs w:val="20"/>
          <w:lang w:val="fr-BE"/>
        </w:rPr>
        <w:t xml:space="preserve">. Les critères d’évaluations seront notamment la robustesse, l’accessibilité et la facilité de paiement. </w:t>
      </w:r>
    </w:p>
    <w:p w:rsidR="005E02B7" w:rsidRPr="00C358AF" w:rsidRDefault="005E02B7" w:rsidP="005E02B7">
      <w:pPr>
        <w:pStyle w:val="Paragraphedeliste"/>
        <w:ind w:left="0"/>
        <w:jc w:val="both"/>
        <w:rPr>
          <w:rFonts w:ascii="Verdana" w:hAnsi="Verdana" w:cs="Verdana"/>
          <w:sz w:val="20"/>
          <w:szCs w:val="20"/>
          <w:lang w:val="fr-BE"/>
        </w:rPr>
      </w:pPr>
      <w:r w:rsidRPr="00C358AF">
        <w:rPr>
          <w:rFonts w:ascii="Verdana" w:hAnsi="Verdana" w:cs="Verdana"/>
          <w:sz w:val="20"/>
          <w:szCs w:val="20"/>
          <w:lang w:val="fr-BE"/>
        </w:rPr>
        <w:t>4</w:t>
      </w:r>
      <w:r w:rsidRPr="00C358AF">
        <w:rPr>
          <w:rFonts w:ascii="Verdana" w:hAnsi="Verdana" w:cs="Verdana"/>
          <w:sz w:val="20"/>
          <w:szCs w:val="20"/>
        </w:rPr>
        <w:t>- Stratégie commerciale</w:t>
      </w:r>
      <w:r w:rsidRPr="00C358AF">
        <w:rPr>
          <w:rFonts w:ascii="Verdana" w:hAnsi="Verdana" w:cs="Verdana"/>
          <w:sz w:val="20"/>
          <w:szCs w:val="20"/>
          <w:lang w:val="fr-BE"/>
        </w:rPr>
        <w:t xml:space="preserve"> </w:t>
      </w:r>
      <w:r w:rsidRPr="00C358AF">
        <w:rPr>
          <w:rFonts w:ascii="Verdana" w:hAnsi="Verdana" w:cs="Verdana"/>
          <w:sz w:val="20"/>
          <w:szCs w:val="20"/>
        </w:rPr>
        <w:t xml:space="preserve">: </w:t>
      </w:r>
      <w:r w:rsidRPr="00C358AF">
        <w:rPr>
          <w:rFonts w:ascii="Verdana" w:hAnsi="Verdana" w:cs="Verdana"/>
          <w:sz w:val="20"/>
          <w:szCs w:val="20"/>
          <w:lang w:val="fr-BE"/>
        </w:rPr>
        <w:t>25</w:t>
      </w:r>
      <w:r w:rsidRPr="00C358AF">
        <w:rPr>
          <w:rFonts w:ascii="Verdana" w:hAnsi="Verdana" w:cs="Verdana"/>
          <w:sz w:val="20"/>
          <w:szCs w:val="20"/>
        </w:rPr>
        <w:t xml:space="preserve"> points</w:t>
      </w:r>
      <w:r w:rsidRPr="00C358AF">
        <w:rPr>
          <w:rFonts w:ascii="Verdana" w:hAnsi="Verdana" w:cs="Verdana"/>
          <w:sz w:val="20"/>
          <w:szCs w:val="20"/>
          <w:lang w:val="fr-BE"/>
        </w:rPr>
        <w:t>. Ce point vise spécifiquement à l’approche commerciale du service. Ce critère sera évalué notamment en fonction de la visibilité, d’une éventuelle application internet ainsi que de la gestion de la clientèle (système de fidélisation, etc.).</w:t>
      </w:r>
      <w:r>
        <w:rPr>
          <w:rFonts w:ascii="Verdana" w:hAnsi="Verdana" w:cs="Verdana"/>
          <w:sz w:val="20"/>
          <w:szCs w:val="20"/>
          <w:lang w:val="fr-BE"/>
        </w:rPr>
        <w:t xml:space="preserve"> La stratégie commerciale devra également être compatible avec la stratégie régionale de mobilité et porter une attention particulière à la question de la tarification intégrée.</w:t>
      </w:r>
    </w:p>
    <w:p w:rsidR="005E02B7" w:rsidRPr="00C358AF" w:rsidRDefault="005E02B7" w:rsidP="005E02B7">
      <w:pPr>
        <w:pStyle w:val="Paragraphedeliste"/>
        <w:ind w:left="0"/>
        <w:jc w:val="both"/>
        <w:rPr>
          <w:rFonts w:ascii="Verdana" w:hAnsi="Verdana" w:cs="Verdana"/>
          <w:sz w:val="20"/>
          <w:szCs w:val="20"/>
          <w:lang w:val="fr-BE"/>
        </w:rPr>
      </w:pPr>
    </w:p>
    <w:p w:rsidR="005E02B7" w:rsidRPr="00C358AF" w:rsidRDefault="005E02B7" w:rsidP="005E02B7">
      <w:pPr>
        <w:pStyle w:val="Paragraphedeliste"/>
        <w:ind w:left="0"/>
        <w:jc w:val="both"/>
        <w:rPr>
          <w:rFonts w:ascii="Verdana" w:hAnsi="Verdana" w:cs="Verdana"/>
          <w:sz w:val="20"/>
          <w:szCs w:val="20"/>
          <w:lang w:val="fr-BE"/>
        </w:rPr>
      </w:pPr>
      <w:r w:rsidRPr="00C358AF">
        <w:rPr>
          <w:rFonts w:ascii="Verdana" w:hAnsi="Verdana" w:cs="Verdana"/>
          <w:sz w:val="20"/>
          <w:szCs w:val="20"/>
          <w:lang w:val="fr-BE"/>
        </w:rPr>
        <w:t>Le score minium est de 50/100 et par critère de minimum 10/25.</w:t>
      </w:r>
    </w:p>
    <w:p w:rsidR="005E02B7" w:rsidRPr="00C358AF" w:rsidRDefault="005E02B7" w:rsidP="005E02B7">
      <w:pPr>
        <w:pStyle w:val="Paragraphedeliste"/>
        <w:ind w:left="0"/>
        <w:jc w:val="both"/>
        <w:rPr>
          <w:rFonts w:ascii="Verdana" w:hAnsi="Verdana" w:cs="Verdana"/>
          <w:sz w:val="20"/>
          <w:szCs w:val="20"/>
        </w:rPr>
      </w:pPr>
    </w:p>
    <w:p w:rsidR="005E02B7" w:rsidRPr="00C358AF" w:rsidRDefault="005E02B7" w:rsidP="005E02B7">
      <w:pPr>
        <w:pStyle w:val="Paragraphedeliste"/>
        <w:ind w:left="0"/>
        <w:jc w:val="both"/>
        <w:rPr>
          <w:rFonts w:ascii="Verdana" w:hAnsi="Verdana" w:cs="Verdana"/>
          <w:sz w:val="20"/>
          <w:szCs w:val="20"/>
        </w:rPr>
      </w:pPr>
      <w:r w:rsidRPr="00C358AF">
        <w:rPr>
          <w:rFonts w:ascii="Verdana" w:hAnsi="Verdana" w:cs="Verdana"/>
          <w:sz w:val="20"/>
          <w:szCs w:val="20"/>
        </w:rPr>
        <w:t>Les projets sélectionnés feront l'objet d'un arrêté de subventionnement précisant en détail les modalités contractuelles et budgétaires liées au projet.</w:t>
      </w:r>
    </w:p>
    <w:p w:rsidR="005E02B7" w:rsidRPr="00C358AF" w:rsidRDefault="005E02B7" w:rsidP="005E02B7">
      <w:pPr>
        <w:jc w:val="both"/>
        <w:rPr>
          <w:rFonts w:ascii="Verdana" w:hAnsi="Verdana"/>
          <w:noProof/>
          <w:sz w:val="20"/>
          <w:szCs w:val="20"/>
          <w:lang w:eastAsia="fr-BE"/>
        </w:rPr>
      </w:pPr>
    </w:p>
    <w:p w:rsidR="00462BAD" w:rsidRDefault="00462BAD" w:rsidP="00462BAD">
      <w:pPr>
        <w:jc w:val="both"/>
        <w:rPr>
          <w:rFonts w:ascii="Verdana" w:hAnsi="Verdana"/>
          <w:noProof/>
          <w:sz w:val="20"/>
          <w:szCs w:val="20"/>
          <w:lang w:eastAsia="fr-BE"/>
        </w:rPr>
      </w:pPr>
    </w:p>
    <w:p w:rsidR="00462BAD" w:rsidRPr="00C10EF9" w:rsidRDefault="00462BAD" w:rsidP="00462BAD">
      <w:pPr>
        <w:pStyle w:val="Paragraphedeliste"/>
        <w:ind w:left="0"/>
        <w:jc w:val="both"/>
        <w:rPr>
          <w:rFonts w:ascii="Verdana" w:hAnsi="Verdana" w:cs="Verdana"/>
          <w:b/>
          <w:sz w:val="20"/>
          <w:szCs w:val="20"/>
          <w:u w:val="single"/>
        </w:rPr>
      </w:pPr>
      <w:r w:rsidRPr="00C10EF9">
        <w:rPr>
          <w:rFonts w:ascii="Verdana" w:hAnsi="Verdana" w:cs="Verdana"/>
          <w:b/>
          <w:sz w:val="20"/>
          <w:szCs w:val="20"/>
          <w:u w:val="single"/>
        </w:rPr>
        <w:t>Contact</w:t>
      </w:r>
    </w:p>
    <w:p w:rsidR="00462BAD" w:rsidRDefault="00462BAD" w:rsidP="00462BAD">
      <w:pPr>
        <w:pStyle w:val="Paragraphedeliste"/>
        <w:ind w:left="0"/>
        <w:jc w:val="both"/>
        <w:rPr>
          <w:rFonts w:ascii="Verdana" w:hAnsi="Verdana" w:cs="Verdana"/>
          <w:sz w:val="20"/>
          <w:szCs w:val="20"/>
        </w:rPr>
      </w:pPr>
    </w:p>
    <w:p w:rsidR="00462BAD" w:rsidRDefault="00462BAD" w:rsidP="00462BAD">
      <w:pPr>
        <w:pStyle w:val="Paragraphedeliste"/>
        <w:ind w:left="0"/>
        <w:jc w:val="both"/>
        <w:rPr>
          <w:rFonts w:ascii="Verdana" w:hAnsi="Verdana" w:cs="Verdana"/>
          <w:sz w:val="20"/>
          <w:szCs w:val="20"/>
        </w:rPr>
      </w:pPr>
      <w:r>
        <w:rPr>
          <w:rFonts w:ascii="Verdana" w:hAnsi="Verdana" w:cs="Verdana"/>
          <w:sz w:val="20"/>
          <w:szCs w:val="20"/>
        </w:rPr>
        <w:t>Tout contact peut être obtenu auprès de :</w:t>
      </w:r>
    </w:p>
    <w:p w:rsidR="00462BAD" w:rsidRDefault="00462BAD" w:rsidP="00462BAD">
      <w:pPr>
        <w:pStyle w:val="Paragraphedeliste"/>
        <w:ind w:left="0"/>
        <w:jc w:val="both"/>
        <w:rPr>
          <w:rFonts w:ascii="Verdana" w:hAnsi="Verdana" w:cs="Verdana"/>
          <w:sz w:val="20"/>
          <w:szCs w:val="20"/>
        </w:rPr>
      </w:pPr>
    </w:p>
    <w:p w:rsidR="00462BAD" w:rsidRDefault="00462BAD" w:rsidP="00462BAD">
      <w:pPr>
        <w:pStyle w:val="Paragraphedeliste"/>
        <w:ind w:left="0"/>
        <w:jc w:val="both"/>
        <w:rPr>
          <w:rFonts w:ascii="Verdana" w:hAnsi="Verdana" w:cs="Verdana"/>
          <w:sz w:val="20"/>
          <w:szCs w:val="20"/>
        </w:rPr>
      </w:pPr>
      <w:r>
        <w:rPr>
          <w:rFonts w:ascii="Verdana" w:hAnsi="Verdana" w:cs="Verdana"/>
          <w:sz w:val="20"/>
          <w:szCs w:val="20"/>
        </w:rPr>
        <w:t>Monsieur Pascal LEHANCE, Attaché</w:t>
      </w:r>
    </w:p>
    <w:p w:rsidR="00462BAD" w:rsidRDefault="00462BAD" w:rsidP="00462BAD">
      <w:pPr>
        <w:pStyle w:val="Paragraphedeliste"/>
        <w:ind w:left="0"/>
        <w:jc w:val="both"/>
        <w:rPr>
          <w:rFonts w:ascii="Verdana" w:hAnsi="Verdana" w:cs="Verdana"/>
          <w:sz w:val="20"/>
          <w:szCs w:val="20"/>
        </w:rPr>
      </w:pPr>
      <w:r>
        <w:rPr>
          <w:rFonts w:ascii="Verdana" w:hAnsi="Verdana" w:cs="Verdana"/>
          <w:sz w:val="20"/>
          <w:szCs w:val="20"/>
        </w:rPr>
        <w:t>DGO4 – Département de l’Energie et du Bâtiment durable</w:t>
      </w:r>
    </w:p>
    <w:p w:rsidR="00462BAD" w:rsidRDefault="00462BAD" w:rsidP="00462BAD">
      <w:pPr>
        <w:pStyle w:val="Paragraphedeliste"/>
        <w:ind w:left="0"/>
        <w:jc w:val="both"/>
        <w:rPr>
          <w:rFonts w:ascii="Verdana" w:hAnsi="Verdana" w:cs="Verdana"/>
          <w:sz w:val="20"/>
          <w:szCs w:val="20"/>
        </w:rPr>
      </w:pPr>
      <w:r>
        <w:rPr>
          <w:rFonts w:ascii="Verdana" w:hAnsi="Verdana" w:cs="Verdana"/>
          <w:sz w:val="20"/>
          <w:szCs w:val="20"/>
        </w:rPr>
        <w:t>Direction de la Promotion de l’Energie durable</w:t>
      </w:r>
    </w:p>
    <w:p w:rsidR="00462BAD" w:rsidRDefault="00462BAD" w:rsidP="00462BAD">
      <w:pPr>
        <w:pStyle w:val="Paragraphedeliste"/>
        <w:ind w:left="0"/>
        <w:jc w:val="both"/>
        <w:rPr>
          <w:rFonts w:ascii="Verdana" w:hAnsi="Verdana" w:cs="Verdana"/>
          <w:sz w:val="20"/>
          <w:szCs w:val="20"/>
        </w:rPr>
      </w:pPr>
      <w:r>
        <w:rPr>
          <w:rFonts w:ascii="Verdana" w:hAnsi="Verdana" w:cs="Verdana"/>
          <w:sz w:val="20"/>
          <w:szCs w:val="20"/>
        </w:rPr>
        <w:t>Rue des Brigades d’Irlande 1,</w:t>
      </w:r>
    </w:p>
    <w:p w:rsidR="00462BAD" w:rsidRDefault="00462BAD" w:rsidP="00462BAD">
      <w:pPr>
        <w:pStyle w:val="Paragraphedeliste"/>
        <w:ind w:left="0"/>
        <w:jc w:val="both"/>
        <w:rPr>
          <w:rFonts w:ascii="Verdana" w:hAnsi="Verdana" w:cs="Verdana"/>
          <w:sz w:val="20"/>
          <w:szCs w:val="20"/>
        </w:rPr>
      </w:pPr>
      <w:r>
        <w:rPr>
          <w:rFonts w:ascii="Verdana" w:hAnsi="Verdana" w:cs="Verdana"/>
          <w:sz w:val="20"/>
          <w:szCs w:val="20"/>
        </w:rPr>
        <w:t>5100</w:t>
      </w:r>
      <w:r>
        <w:rPr>
          <w:rFonts w:ascii="Verdana" w:hAnsi="Verdana" w:cs="Verdana"/>
          <w:sz w:val="20"/>
          <w:szCs w:val="20"/>
        </w:rPr>
        <w:tab/>
        <w:t>JAMBES</w:t>
      </w:r>
    </w:p>
    <w:p w:rsidR="00462BAD" w:rsidRDefault="00462BAD" w:rsidP="00462BAD">
      <w:pPr>
        <w:pStyle w:val="Paragraphedeliste"/>
        <w:ind w:left="0"/>
        <w:jc w:val="both"/>
        <w:rPr>
          <w:rFonts w:ascii="Verdana" w:hAnsi="Verdana" w:cs="Verdana"/>
          <w:sz w:val="20"/>
          <w:szCs w:val="20"/>
        </w:rPr>
      </w:pPr>
      <w:r>
        <w:rPr>
          <w:rFonts w:ascii="Verdana" w:hAnsi="Verdana" w:cs="Verdana"/>
          <w:sz w:val="20"/>
          <w:szCs w:val="20"/>
        </w:rPr>
        <w:t>Tél. : 081/48.63.32</w:t>
      </w:r>
    </w:p>
    <w:p w:rsidR="00462BAD" w:rsidRDefault="00462BAD" w:rsidP="00462BAD">
      <w:pPr>
        <w:pStyle w:val="Paragraphedeliste"/>
        <w:ind w:left="0"/>
        <w:jc w:val="both"/>
        <w:rPr>
          <w:rFonts w:ascii="Verdana" w:hAnsi="Verdana" w:cs="Verdana"/>
          <w:sz w:val="20"/>
          <w:szCs w:val="20"/>
        </w:rPr>
      </w:pPr>
      <w:r>
        <w:rPr>
          <w:rFonts w:ascii="Verdana" w:hAnsi="Verdana" w:cs="Verdana"/>
          <w:sz w:val="20"/>
          <w:szCs w:val="20"/>
        </w:rPr>
        <w:t xml:space="preserve">Courriel : </w:t>
      </w:r>
      <w:hyperlink r:id="rId5" w:history="1">
        <w:r w:rsidRPr="00422E52">
          <w:rPr>
            <w:rStyle w:val="Lienhypertexte"/>
            <w:rFonts w:ascii="Verdana" w:hAnsi="Verdana" w:cs="Verdana"/>
            <w:sz w:val="20"/>
            <w:szCs w:val="20"/>
            <w:lang w:val="fr-BE" w:eastAsia="hi-IN" w:bidi="hi-IN"/>
          </w:rPr>
          <w:t>pascal.lehance@spw.wallonie.be</w:t>
        </w:r>
      </w:hyperlink>
      <w:r>
        <w:rPr>
          <w:rFonts w:ascii="Verdana" w:hAnsi="Verdana" w:cs="Verdana"/>
          <w:sz w:val="20"/>
          <w:szCs w:val="20"/>
        </w:rPr>
        <w:t xml:space="preserve"> </w:t>
      </w:r>
    </w:p>
    <w:p w:rsidR="00B11B6C" w:rsidRDefault="00B11B6C"/>
    <w:sectPr w:rsidR="00B11B6C" w:rsidSect="00B11B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1B0F"/>
    <w:multiLevelType w:val="hybridMultilevel"/>
    <w:tmpl w:val="688064B4"/>
    <w:lvl w:ilvl="0" w:tplc="7F707CF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64B779EA"/>
    <w:multiLevelType w:val="hybridMultilevel"/>
    <w:tmpl w:val="57B4E9A6"/>
    <w:lvl w:ilvl="0" w:tplc="95461E5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6FE90539"/>
    <w:multiLevelType w:val="hybridMultilevel"/>
    <w:tmpl w:val="635C4D86"/>
    <w:lvl w:ilvl="0" w:tplc="64AA6EB4">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241B"/>
    <w:rsid w:val="00176998"/>
    <w:rsid w:val="001A0F4B"/>
    <w:rsid w:val="001C6DA7"/>
    <w:rsid w:val="00242A36"/>
    <w:rsid w:val="00462BAD"/>
    <w:rsid w:val="005E02B7"/>
    <w:rsid w:val="0080241B"/>
    <w:rsid w:val="00B11B6C"/>
    <w:rsid w:val="00BB1568"/>
    <w:rsid w:val="00BB575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Arial"/>
        <w:sz w:val="21"/>
        <w:szCs w:val="24"/>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BAD"/>
    <w:pPr>
      <w:spacing w:after="0" w:line="240" w:lineRule="auto"/>
    </w:pPr>
    <w:rPr>
      <w:rFonts w:ascii="Times New Roman" w:eastAsia="Times New Roman" w:hAnsi="Times New Roman" w:cs="Times New Roman"/>
      <w:sz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ettre d'introduction"/>
    <w:basedOn w:val="Normal"/>
    <w:link w:val="ParagraphedelisteCar"/>
    <w:uiPriority w:val="34"/>
    <w:qFormat/>
    <w:rsid w:val="00462BAD"/>
    <w:pPr>
      <w:ind w:left="708"/>
    </w:pPr>
  </w:style>
  <w:style w:type="character" w:customStyle="1" w:styleId="ParagraphedelisteCar">
    <w:name w:val="Paragraphe de liste Car"/>
    <w:aliases w:val="Lettre d'introduction Car"/>
    <w:link w:val="Paragraphedeliste"/>
    <w:uiPriority w:val="34"/>
    <w:rsid w:val="00462BAD"/>
    <w:rPr>
      <w:rFonts w:ascii="Times New Roman" w:eastAsia="Times New Roman" w:hAnsi="Times New Roman" w:cs="Times New Roman"/>
      <w:sz w:val="24"/>
      <w:lang w:val="fr-FR" w:eastAsia="fr-FR"/>
    </w:rPr>
  </w:style>
  <w:style w:type="character" w:styleId="Lienhypertexte">
    <w:name w:val="Hyperlink"/>
    <w:rsid w:val="00462BAD"/>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scal.lehance@spw.wallonie.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1929</Words>
  <Characters>10610</Characters>
  <Application>Microsoft Office Word</Application>
  <DocSecurity>0</DocSecurity>
  <Lines>88</Lines>
  <Paragraphs>25</Paragraphs>
  <ScaleCrop>false</ScaleCrop>
  <Company/>
  <LinksUpToDate>false</LinksUpToDate>
  <CharactersWithSpaces>12514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128086</dc:creator>
  <cp:lastModifiedBy>128086</cp:lastModifiedBy>
  <cp:revision>2</cp:revision>
  <dcterms:created xsi:type="dcterms:W3CDTF">2019-03-19T16:09:00Z</dcterms:created>
  <dcterms:modified xsi:type="dcterms:W3CDTF">2019-03-19T16:09:00Z</dcterms:modified>
</cp:coreProperties>
</file>