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47" w:rsidRPr="008C6779" w:rsidRDefault="004A5847" w:rsidP="004A5847">
      <w:pPr>
        <w:jc w:val="center"/>
        <w:rPr>
          <w:rFonts w:ascii="Verdana" w:hAnsi="Verdana"/>
          <w:b/>
          <w:caps/>
          <w:kern w:val="20"/>
          <w:sz w:val="20"/>
          <w:szCs w:val="22"/>
        </w:rPr>
      </w:pPr>
      <w:r w:rsidRPr="008C6779">
        <w:rPr>
          <w:rFonts w:ascii="Verdana" w:hAnsi="Verdana"/>
          <w:b/>
          <w:caps/>
          <w:kern w:val="20"/>
          <w:sz w:val="20"/>
          <w:szCs w:val="22"/>
        </w:rPr>
        <w:t>Appel à projets pour le déploiement d’une infrastructure en carburants alternatifs – Volet entreprises</w:t>
      </w:r>
    </w:p>
    <w:p w:rsidR="004A5847" w:rsidRDefault="004A5847" w:rsidP="004A5847">
      <w:pPr>
        <w:jc w:val="both"/>
        <w:rPr>
          <w:rFonts w:ascii="Verdana" w:hAnsi="Verdana"/>
          <w:sz w:val="20"/>
          <w:szCs w:val="22"/>
        </w:rPr>
      </w:pPr>
    </w:p>
    <w:p w:rsidR="004A5847" w:rsidRDefault="004A5847" w:rsidP="004A5847">
      <w:pPr>
        <w:jc w:val="both"/>
        <w:rPr>
          <w:rFonts w:ascii="Verdana" w:hAnsi="Verdana"/>
          <w:sz w:val="20"/>
          <w:szCs w:val="22"/>
        </w:rPr>
      </w:pPr>
    </w:p>
    <w:p w:rsidR="004A5847" w:rsidRDefault="004A5847" w:rsidP="004A5847">
      <w:pPr>
        <w:jc w:val="both"/>
        <w:rPr>
          <w:rFonts w:ascii="Verdana" w:hAnsi="Verdana"/>
          <w:sz w:val="20"/>
          <w:szCs w:val="20"/>
        </w:rPr>
      </w:pPr>
      <w:r w:rsidRPr="00C27BD4">
        <w:rPr>
          <w:rFonts w:ascii="Verdana" w:hAnsi="Verdana"/>
          <w:sz w:val="20"/>
          <w:szCs w:val="20"/>
        </w:rPr>
        <w:t>L’appel à projets</w:t>
      </w:r>
      <w:r w:rsidRPr="00713A32">
        <w:rPr>
          <w:rFonts w:ascii="Verdana" w:hAnsi="Verdana"/>
          <w:sz w:val="20"/>
          <w:szCs w:val="20"/>
        </w:rPr>
        <w:t xml:space="preserve"> vise à la mise en œuvre :</w:t>
      </w:r>
    </w:p>
    <w:p w:rsidR="004A5847" w:rsidRDefault="004A5847" w:rsidP="004A5847">
      <w:pPr>
        <w:jc w:val="both"/>
        <w:rPr>
          <w:rFonts w:ascii="Verdana" w:hAnsi="Verdana"/>
          <w:sz w:val="20"/>
          <w:szCs w:val="20"/>
        </w:rPr>
      </w:pPr>
    </w:p>
    <w:p w:rsidR="004A5847" w:rsidRDefault="004A5847" w:rsidP="004A5847">
      <w:pPr>
        <w:jc w:val="both"/>
        <w:rPr>
          <w:rFonts w:ascii="Verdana" w:hAnsi="Verdana"/>
          <w:b/>
          <w:sz w:val="20"/>
          <w:szCs w:val="20"/>
          <w:u w:val="single"/>
        </w:rPr>
      </w:pPr>
      <w:r w:rsidRPr="00A104A9">
        <w:rPr>
          <w:rFonts w:ascii="Verdana" w:hAnsi="Verdana"/>
          <w:b/>
          <w:sz w:val="20"/>
          <w:szCs w:val="20"/>
          <w:u w:val="single"/>
        </w:rPr>
        <w:t>Pour les bornes de chargement</w:t>
      </w:r>
    </w:p>
    <w:p w:rsidR="004A5847" w:rsidRDefault="004A5847" w:rsidP="004A5847">
      <w:pPr>
        <w:jc w:val="both"/>
        <w:rPr>
          <w:rFonts w:ascii="Verdana" w:hAnsi="Verdana"/>
          <w:b/>
          <w:sz w:val="20"/>
          <w:szCs w:val="20"/>
          <w:u w:val="single"/>
        </w:rPr>
      </w:pPr>
    </w:p>
    <w:p w:rsidR="004A5847" w:rsidRDefault="004A5847" w:rsidP="004A5847">
      <w:pPr>
        <w:widowControl w:val="0"/>
        <w:numPr>
          <w:ilvl w:val="0"/>
          <w:numId w:val="1"/>
        </w:numPr>
        <w:suppressAutoHyphens/>
        <w:jc w:val="both"/>
        <w:rPr>
          <w:rFonts w:ascii="Verdana" w:hAnsi="Verdana"/>
          <w:sz w:val="20"/>
          <w:szCs w:val="20"/>
        </w:rPr>
      </w:pPr>
      <w:r>
        <w:rPr>
          <w:rFonts w:ascii="Verdana" w:hAnsi="Verdana"/>
          <w:sz w:val="20"/>
          <w:szCs w:val="20"/>
        </w:rPr>
        <w:t>De bornes d’une puissance nominale inférieure ou égale à 4kW pour le chargement de vélos, speed-</w:t>
      </w:r>
      <w:proofErr w:type="spellStart"/>
      <w:r>
        <w:rPr>
          <w:rFonts w:ascii="Verdana" w:hAnsi="Verdana"/>
          <w:sz w:val="20"/>
          <w:szCs w:val="20"/>
        </w:rPr>
        <w:t>pedelecs</w:t>
      </w:r>
      <w:proofErr w:type="spellEnd"/>
      <w:r>
        <w:rPr>
          <w:rFonts w:ascii="Verdana" w:hAnsi="Verdana"/>
          <w:sz w:val="20"/>
          <w:szCs w:val="20"/>
        </w:rPr>
        <w:t xml:space="preserve"> ou véhicules légers ;</w:t>
      </w:r>
    </w:p>
    <w:p w:rsidR="004A5847" w:rsidRDefault="004A5847" w:rsidP="004A5847">
      <w:pPr>
        <w:widowControl w:val="0"/>
        <w:numPr>
          <w:ilvl w:val="0"/>
          <w:numId w:val="1"/>
        </w:numPr>
        <w:suppressAutoHyphens/>
        <w:jc w:val="both"/>
        <w:rPr>
          <w:rFonts w:ascii="Verdana" w:hAnsi="Verdana"/>
          <w:sz w:val="20"/>
          <w:szCs w:val="20"/>
        </w:rPr>
      </w:pPr>
      <w:r>
        <w:rPr>
          <w:rFonts w:ascii="Verdana" w:hAnsi="Verdana"/>
          <w:sz w:val="20"/>
          <w:szCs w:val="20"/>
        </w:rPr>
        <w:t>De bornes d’une puissance nominale supérieure à 4kW et inférieure ou égale à 22kW ;</w:t>
      </w:r>
    </w:p>
    <w:p w:rsidR="004A5847" w:rsidRDefault="004A5847" w:rsidP="004A5847">
      <w:pPr>
        <w:widowControl w:val="0"/>
        <w:numPr>
          <w:ilvl w:val="0"/>
          <w:numId w:val="1"/>
        </w:numPr>
        <w:suppressAutoHyphens/>
        <w:jc w:val="both"/>
        <w:rPr>
          <w:rFonts w:ascii="Verdana" w:hAnsi="Verdana"/>
          <w:sz w:val="20"/>
          <w:szCs w:val="20"/>
        </w:rPr>
      </w:pPr>
      <w:r>
        <w:rPr>
          <w:rFonts w:ascii="Verdana" w:hAnsi="Verdana"/>
          <w:sz w:val="20"/>
          <w:szCs w:val="20"/>
        </w:rPr>
        <w:t>De bornes d’une puissance nominale supérieure à 22 kW et inférieure ou égale à 50kW.</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Les bornes d’une puissance supérieure à 50kW ne sont pas autorisées dans le présent appel. </w:t>
      </w:r>
    </w:p>
    <w:p w:rsidR="004A5847" w:rsidRDefault="004A5847" w:rsidP="004A5847">
      <w:pPr>
        <w:jc w:val="both"/>
        <w:rPr>
          <w:rFonts w:ascii="Verdana" w:hAnsi="Verdana"/>
          <w:sz w:val="20"/>
          <w:szCs w:val="20"/>
        </w:rPr>
      </w:pPr>
    </w:p>
    <w:p w:rsidR="004A5847" w:rsidRPr="005917C1" w:rsidRDefault="004A5847" w:rsidP="004A5847">
      <w:pPr>
        <w:jc w:val="both"/>
        <w:rPr>
          <w:rFonts w:ascii="Verdana" w:hAnsi="Verdana"/>
          <w:b/>
          <w:sz w:val="20"/>
          <w:szCs w:val="20"/>
          <w:u w:val="single"/>
        </w:rPr>
      </w:pPr>
      <w:r>
        <w:rPr>
          <w:rFonts w:ascii="Verdana" w:hAnsi="Verdana"/>
          <w:b/>
          <w:sz w:val="20"/>
          <w:szCs w:val="20"/>
          <w:u w:val="single"/>
        </w:rPr>
        <w:t>Pour les infrastructures au gaz naturel</w:t>
      </w:r>
    </w:p>
    <w:p w:rsidR="004A5847" w:rsidRDefault="004A5847" w:rsidP="004A5847">
      <w:pPr>
        <w:jc w:val="both"/>
        <w:rPr>
          <w:rFonts w:ascii="Verdana" w:hAnsi="Verdana"/>
          <w:sz w:val="20"/>
          <w:szCs w:val="20"/>
        </w:rPr>
      </w:pPr>
    </w:p>
    <w:p w:rsidR="004A5847" w:rsidRDefault="004A5847" w:rsidP="004A5847">
      <w:pPr>
        <w:numPr>
          <w:ilvl w:val="0"/>
          <w:numId w:val="1"/>
        </w:numPr>
        <w:jc w:val="both"/>
        <w:rPr>
          <w:rFonts w:ascii="Verdana" w:hAnsi="Verdana"/>
          <w:sz w:val="20"/>
          <w:szCs w:val="20"/>
        </w:rPr>
      </w:pPr>
      <w:r>
        <w:rPr>
          <w:rFonts w:ascii="Verdana" w:hAnsi="Verdana"/>
          <w:sz w:val="20"/>
          <w:szCs w:val="20"/>
        </w:rPr>
        <w:t xml:space="preserve">Des </w:t>
      </w:r>
      <w:r w:rsidRPr="00713A32">
        <w:rPr>
          <w:rFonts w:ascii="Verdana" w:hAnsi="Verdana"/>
          <w:sz w:val="20"/>
          <w:szCs w:val="20"/>
        </w:rPr>
        <w:t xml:space="preserve">infrastructures dispensant du GNC dans des implantations </w:t>
      </w:r>
      <w:r>
        <w:rPr>
          <w:rFonts w:ascii="Verdana" w:hAnsi="Verdana"/>
          <w:sz w:val="20"/>
          <w:szCs w:val="20"/>
        </w:rPr>
        <w:t xml:space="preserve">situées à proximité du </w:t>
      </w:r>
      <w:r w:rsidRPr="00713A32">
        <w:rPr>
          <w:rFonts w:ascii="Verdana" w:hAnsi="Verdana"/>
          <w:sz w:val="20"/>
          <w:szCs w:val="20"/>
        </w:rPr>
        <w:t>réseau de gaz naturel</w:t>
      </w:r>
      <w:r>
        <w:rPr>
          <w:rFonts w:ascii="Verdana" w:hAnsi="Verdana"/>
          <w:sz w:val="20"/>
          <w:szCs w:val="20"/>
        </w:rPr>
        <w:t xml:space="preserve"> existant ;</w:t>
      </w:r>
    </w:p>
    <w:p w:rsidR="004A5847" w:rsidRPr="00713A32" w:rsidRDefault="004A5847" w:rsidP="004A5847">
      <w:pPr>
        <w:numPr>
          <w:ilvl w:val="0"/>
          <w:numId w:val="1"/>
        </w:numPr>
        <w:jc w:val="both"/>
        <w:rPr>
          <w:rFonts w:ascii="Verdana" w:hAnsi="Verdana"/>
          <w:sz w:val="20"/>
          <w:szCs w:val="20"/>
        </w:rPr>
      </w:pPr>
      <w:r>
        <w:rPr>
          <w:rFonts w:ascii="Verdana" w:hAnsi="Verdana"/>
          <w:sz w:val="20"/>
          <w:szCs w:val="20"/>
        </w:rPr>
        <w:t xml:space="preserve">Des </w:t>
      </w:r>
      <w:r w:rsidRPr="00713A32">
        <w:rPr>
          <w:rFonts w:ascii="Verdana" w:hAnsi="Verdana"/>
          <w:sz w:val="20"/>
          <w:szCs w:val="20"/>
        </w:rPr>
        <w:t>infrastructures dispensant du GNL</w:t>
      </w:r>
      <w:r>
        <w:rPr>
          <w:rFonts w:ascii="Verdana" w:hAnsi="Verdana"/>
          <w:sz w:val="20"/>
          <w:szCs w:val="20"/>
        </w:rPr>
        <w:t xml:space="preserve"> routier ou fluvial ;</w:t>
      </w:r>
    </w:p>
    <w:p w:rsidR="004A5847" w:rsidRDefault="004A5847" w:rsidP="004A5847">
      <w:pPr>
        <w:numPr>
          <w:ilvl w:val="0"/>
          <w:numId w:val="1"/>
        </w:numPr>
        <w:jc w:val="both"/>
        <w:rPr>
          <w:rFonts w:ascii="Verdana" w:hAnsi="Verdana"/>
          <w:sz w:val="20"/>
          <w:szCs w:val="20"/>
        </w:rPr>
      </w:pPr>
      <w:r>
        <w:rPr>
          <w:rFonts w:ascii="Verdana" w:hAnsi="Verdana"/>
          <w:sz w:val="20"/>
          <w:szCs w:val="20"/>
        </w:rPr>
        <w:t xml:space="preserve">Des </w:t>
      </w:r>
      <w:r w:rsidRPr="00713A32">
        <w:rPr>
          <w:rFonts w:ascii="Verdana" w:hAnsi="Verdana"/>
          <w:sz w:val="20"/>
          <w:szCs w:val="20"/>
        </w:rPr>
        <w:t xml:space="preserve">infrastructures dispensant du GNC dans des implantations </w:t>
      </w:r>
      <w:r>
        <w:rPr>
          <w:rFonts w:ascii="Verdana" w:hAnsi="Verdana"/>
          <w:sz w:val="20"/>
          <w:szCs w:val="20"/>
        </w:rPr>
        <w:t xml:space="preserve">situées hors du </w:t>
      </w:r>
      <w:r w:rsidRPr="00713A32">
        <w:rPr>
          <w:rFonts w:ascii="Verdana" w:hAnsi="Verdana"/>
          <w:sz w:val="20"/>
          <w:szCs w:val="20"/>
        </w:rPr>
        <w:t>réseau de gaz naturel</w:t>
      </w:r>
      <w:r>
        <w:rPr>
          <w:rFonts w:ascii="Verdana" w:hAnsi="Verdana"/>
          <w:sz w:val="20"/>
          <w:szCs w:val="20"/>
        </w:rPr>
        <w:t xml:space="preserve"> pour autant qu’ils prévoient une possibilité de raccordements domiciliaires locaux ;</w:t>
      </w:r>
    </w:p>
    <w:p w:rsidR="004A5847" w:rsidRDefault="004A5847" w:rsidP="004A5847">
      <w:pPr>
        <w:numPr>
          <w:ilvl w:val="0"/>
          <w:numId w:val="1"/>
        </w:numPr>
        <w:jc w:val="both"/>
        <w:rPr>
          <w:rFonts w:ascii="Verdana" w:hAnsi="Verdana"/>
          <w:sz w:val="20"/>
          <w:szCs w:val="20"/>
        </w:rPr>
      </w:pPr>
      <w:r w:rsidRPr="00713A32">
        <w:rPr>
          <w:rFonts w:ascii="Verdana" w:hAnsi="Verdana"/>
          <w:sz w:val="20"/>
          <w:szCs w:val="20"/>
        </w:rPr>
        <w:t xml:space="preserve">Les modèles présentant un appoint en biogaz ou exclusivement lié à une unité de </w:t>
      </w:r>
      <w:proofErr w:type="spellStart"/>
      <w:r w:rsidRPr="00713A32">
        <w:rPr>
          <w:rFonts w:ascii="Verdana" w:hAnsi="Verdana"/>
          <w:sz w:val="20"/>
          <w:szCs w:val="20"/>
        </w:rPr>
        <w:t>biométhanisation</w:t>
      </w:r>
      <w:proofErr w:type="spellEnd"/>
      <w:r w:rsidRPr="00713A32">
        <w:rPr>
          <w:rFonts w:ascii="Verdana" w:hAnsi="Verdana"/>
          <w:sz w:val="20"/>
          <w:szCs w:val="20"/>
        </w:rPr>
        <w:t xml:space="preserve"> pourront être introduits. </w:t>
      </w:r>
    </w:p>
    <w:p w:rsidR="004A5847" w:rsidRDefault="004A5847" w:rsidP="004A5847">
      <w:pPr>
        <w:jc w:val="both"/>
        <w:rPr>
          <w:rFonts w:ascii="Verdana" w:hAnsi="Verdana"/>
          <w:sz w:val="20"/>
          <w:szCs w:val="20"/>
        </w:rPr>
      </w:pPr>
    </w:p>
    <w:p w:rsidR="004A5847" w:rsidRPr="005917C1" w:rsidRDefault="004A5847" w:rsidP="004A5847">
      <w:pPr>
        <w:jc w:val="both"/>
        <w:rPr>
          <w:rFonts w:ascii="Verdana" w:hAnsi="Verdana"/>
          <w:sz w:val="20"/>
          <w:szCs w:val="20"/>
        </w:rPr>
      </w:pPr>
      <w:r>
        <w:rPr>
          <w:rFonts w:ascii="Verdana" w:hAnsi="Verdana"/>
          <w:sz w:val="20"/>
          <w:szCs w:val="20"/>
        </w:rPr>
        <w:t>Dans les deux derniers cas, l’</w:t>
      </w:r>
      <w:r w:rsidRPr="005917C1">
        <w:rPr>
          <w:rFonts w:ascii="Verdana" w:hAnsi="Verdana"/>
          <w:sz w:val="20"/>
          <w:szCs w:val="20"/>
        </w:rPr>
        <w:t xml:space="preserve">aide ne portera que sur l’infrastructure de distribution de GNC. Les projets dispensant exclusivement du biogaz devront prouver la dispense d’au minimum 73 tonnes de gaz par an de </w:t>
      </w:r>
      <w:proofErr w:type="spellStart"/>
      <w:r w:rsidRPr="005917C1">
        <w:rPr>
          <w:rFonts w:ascii="Verdana" w:hAnsi="Verdana"/>
          <w:sz w:val="20"/>
          <w:szCs w:val="20"/>
        </w:rPr>
        <w:t>biométhane</w:t>
      </w:r>
      <w:proofErr w:type="spellEnd"/>
      <w:r w:rsidRPr="005917C1">
        <w:rPr>
          <w:rFonts w:ascii="Verdana" w:hAnsi="Verdana"/>
          <w:sz w:val="20"/>
          <w:szCs w:val="20"/>
        </w:rPr>
        <w:t xml:space="preserve"> (soit 200 kg/jour en moyenne, correspondant au chargement de 5 à 10 véhicules par jour). Les installations devront être conçues et réalisées en respectant les normes en vigueur concernant l’utilisation du </w:t>
      </w:r>
      <w:proofErr w:type="spellStart"/>
      <w:r w:rsidRPr="005917C1">
        <w:rPr>
          <w:rFonts w:ascii="Verdana" w:hAnsi="Verdana"/>
          <w:sz w:val="20"/>
          <w:szCs w:val="20"/>
        </w:rPr>
        <w:t>biométhane</w:t>
      </w:r>
      <w:proofErr w:type="spellEnd"/>
      <w:r w:rsidRPr="005917C1">
        <w:rPr>
          <w:rFonts w:ascii="Verdana" w:hAnsi="Verdana"/>
          <w:sz w:val="20"/>
          <w:szCs w:val="20"/>
        </w:rPr>
        <w:t xml:space="preserve"> dans le transport et son injection dans les réseaux de gaz naturel.</w:t>
      </w:r>
      <w:r w:rsidRPr="005917C1" w:rsidDel="002A6722">
        <w:rPr>
          <w:rFonts w:ascii="Verdana" w:hAnsi="Verdana"/>
          <w:sz w:val="20"/>
          <w:szCs w:val="20"/>
        </w:rPr>
        <w:t xml:space="preserve"> </w:t>
      </w:r>
    </w:p>
    <w:p w:rsidR="004A5847" w:rsidRPr="00713A32"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sidRPr="00713A32">
        <w:rPr>
          <w:rFonts w:ascii="Verdana" w:hAnsi="Verdana"/>
          <w:sz w:val="20"/>
          <w:szCs w:val="20"/>
        </w:rPr>
        <w:t xml:space="preserve">Pour le GNC, le financement pourra couvrir l’acquisition, le placement et le raccordement des infrastructures au réseau de gaz naturel en ce compris le compresseur. </w:t>
      </w:r>
    </w:p>
    <w:p w:rsidR="004A5847" w:rsidRDefault="004A5847" w:rsidP="004A5847">
      <w:pPr>
        <w:jc w:val="both"/>
        <w:rPr>
          <w:rFonts w:ascii="Verdana" w:hAnsi="Verdana"/>
          <w:sz w:val="20"/>
          <w:szCs w:val="20"/>
        </w:rPr>
      </w:pPr>
    </w:p>
    <w:p w:rsidR="004A5847" w:rsidRPr="00713A32" w:rsidRDefault="004A5847" w:rsidP="004A5847">
      <w:pPr>
        <w:jc w:val="both"/>
        <w:rPr>
          <w:rFonts w:ascii="Verdana" w:hAnsi="Verdana"/>
          <w:sz w:val="20"/>
          <w:szCs w:val="20"/>
        </w:rPr>
      </w:pPr>
      <w:r w:rsidRPr="00713A32">
        <w:rPr>
          <w:rFonts w:ascii="Verdana" w:hAnsi="Verdana"/>
          <w:sz w:val="20"/>
          <w:szCs w:val="20"/>
        </w:rPr>
        <w:t>L</w:t>
      </w:r>
      <w:r>
        <w:rPr>
          <w:rFonts w:ascii="Verdana" w:hAnsi="Verdana"/>
          <w:sz w:val="20"/>
          <w:szCs w:val="20"/>
        </w:rPr>
        <w:t>es projets prévoyant un</w:t>
      </w:r>
      <w:r w:rsidRPr="00713A32">
        <w:rPr>
          <w:rFonts w:ascii="Verdana" w:hAnsi="Verdana"/>
          <w:sz w:val="20"/>
          <w:szCs w:val="20"/>
        </w:rPr>
        <w:t xml:space="preserve"> raccordement vers </w:t>
      </w:r>
      <w:r>
        <w:rPr>
          <w:rFonts w:ascii="Verdana" w:hAnsi="Verdana"/>
          <w:sz w:val="20"/>
          <w:szCs w:val="20"/>
        </w:rPr>
        <w:t>une</w:t>
      </w:r>
      <w:r w:rsidRPr="00713A32">
        <w:rPr>
          <w:rFonts w:ascii="Verdana" w:hAnsi="Verdana"/>
          <w:sz w:val="20"/>
          <w:szCs w:val="20"/>
        </w:rPr>
        <w:t xml:space="preserve"> unité dispensant du biogaz </w:t>
      </w:r>
      <w:r>
        <w:rPr>
          <w:rFonts w:ascii="Verdana" w:hAnsi="Verdana"/>
          <w:sz w:val="20"/>
          <w:szCs w:val="20"/>
        </w:rPr>
        <w:t>seront privilégiés</w:t>
      </w:r>
      <w:r w:rsidRPr="00713A32">
        <w:rPr>
          <w:rFonts w:ascii="Verdana" w:hAnsi="Verdana"/>
          <w:sz w:val="20"/>
          <w:szCs w:val="20"/>
        </w:rPr>
        <w:t xml:space="preserve">. </w:t>
      </w:r>
    </w:p>
    <w:p w:rsidR="004A5847" w:rsidRPr="00713A32" w:rsidRDefault="004A5847" w:rsidP="004A5847">
      <w:pPr>
        <w:jc w:val="both"/>
        <w:rPr>
          <w:rFonts w:ascii="Verdana" w:hAnsi="Verdana"/>
          <w:sz w:val="20"/>
          <w:szCs w:val="20"/>
        </w:rPr>
      </w:pPr>
    </w:p>
    <w:p w:rsidR="004A5847" w:rsidRPr="00713A32" w:rsidRDefault="004A5847" w:rsidP="004A5847">
      <w:pPr>
        <w:jc w:val="both"/>
        <w:rPr>
          <w:rFonts w:ascii="Verdana" w:hAnsi="Verdana"/>
          <w:sz w:val="20"/>
          <w:szCs w:val="20"/>
        </w:rPr>
      </w:pPr>
      <w:r w:rsidRPr="00713A32">
        <w:rPr>
          <w:rFonts w:ascii="Verdana" w:hAnsi="Verdana"/>
          <w:sz w:val="20"/>
          <w:szCs w:val="20"/>
        </w:rPr>
        <w:t>Pour le GNL, le financement pourra couvrir l’acquisition et le placement de réservoirs de gaz liquéfié à l’exception de liquéfacteurs.</w:t>
      </w:r>
    </w:p>
    <w:p w:rsidR="004A5847" w:rsidRDefault="004A5847" w:rsidP="004A5847">
      <w:pPr>
        <w:jc w:val="both"/>
        <w:rPr>
          <w:rFonts w:ascii="Verdana" w:hAnsi="Verdana"/>
          <w:sz w:val="20"/>
          <w:szCs w:val="20"/>
        </w:rPr>
      </w:pPr>
    </w:p>
    <w:p w:rsidR="004A5847" w:rsidRPr="005917C1" w:rsidRDefault="004A5847" w:rsidP="004A5847">
      <w:pPr>
        <w:jc w:val="both"/>
        <w:rPr>
          <w:rFonts w:ascii="Verdana" w:hAnsi="Verdana"/>
          <w:b/>
          <w:sz w:val="20"/>
          <w:szCs w:val="20"/>
          <w:u w:val="single"/>
        </w:rPr>
      </w:pPr>
      <w:r>
        <w:rPr>
          <w:rFonts w:ascii="Verdana" w:hAnsi="Verdana"/>
          <w:b/>
          <w:sz w:val="20"/>
          <w:szCs w:val="20"/>
          <w:u w:val="single"/>
        </w:rPr>
        <w:t>Pour les infrastructures à l’hydrogène</w:t>
      </w:r>
    </w:p>
    <w:p w:rsidR="004A5847" w:rsidRDefault="004A5847" w:rsidP="004A5847">
      <w:pPr>
        <w:jc w:val="both"/>
        <w:rPr>
          <w:rFonts w:ascii="Verdana" w:hAnsi="Verdana"/>
          <w:sz w:val="20"/>
          <w:szCs w:val="20"/>
        </w:rPr>
      </w:pPr>
    </w:p>
    <w:p w:rsidR="004A5847" w:rsidRDefault="004A5847" w:rsidP="004A5847">
      <w:pPr>
        <w:numPr>
          <w:ilvl w:val="0"/>
          <w:numId w:val="1"/>
        </w:numPr>
        <w:jc w:val="both"/>
        <w:rPr>
          <w:rFonts w:ascii="Verdana" w:hAnsi="Verdana"/>
          <w:sz w:val="20"/>
          <w:szCs w:val="20"/>
        </w:rPr>
      </w:pPr>
      <w:r>
        <w:rPr>
          <w:rFonts w:ascii="Verdana" w:hAnsi="Verdana"/>
          <w:sz w:val="20"/>
          <w:szCs w:val="20"/>
        </w:rPr>
        <w:t xml:space="preserve">Des </w:t>
      </w:r>
      <w:r w:rsidRPr="00713A32">
        <w:rPr>
          <w:rFonts w:ascii="Verdana" w:hAnsi="Verdana"/>
          <w:sz w:val="20"/>
          <w:szCs w:val="20"/>
        </w:rPr>
        <w:t xml:space="preserve">infrastructures dispensant </w:t>
      </w:r>
      <w:r>
        <w:rPr>
          <w:rFonts w:ascii="Verdana" w:hAnsi="Verdana"/>
          <w:sz w:val="20"/>
          <w:szCs w:val="20"/>
        </w:rPr>
        <w:t xml:space="preserve">de l’hydrogène à 700 bars. Ces infrastructures doivent également pouvoir dispenser de l’hydrogène à 350 bars. </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 xml:space="preserve">Dans le cas de l’hydrogène, </w:t>
      </w:r>
      <w:r w:rsidRPr="008C6779">
        <w:rPr>
          <w:rFonts w:ascii="Verdana" w:hAnsi="Verdana"/>
          <w:sz w:val="20"/>
          <w:szCs w:val="20"/>
          <w:u w:val="single"/>
        </w:rPr>
        <w:t>seule la fourniture d’hydrogène issu de l’électrolyse d’eau</w:t>
      </w:r>
      <w:r>
        <w:rPr>
          <w:rFonts w:ascii="Verdana" w:hAnsi="Verdana"/>
          <w:sz w:val="20"/>
          <w:szCs w:val="20"/>
        </w:rPr>
        <w:t xml:space="preserve"> sera autorisée. A cet effet, l’avance pourra également couvrir l’équipement en électrolyseur lorsque l’hydrogène est produit sur site. Pour les projets nécessitant l’apport d’hydrogène, le fournisseur devra pouvoir garantir l’origine exclusivement verte de l’hydrogène par toute preuve probante.</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lastRenderedPageBreak/>
        <w:t xml:space="preserve">Les infrastructures déployées devront pouvoir dispenser un minimum de 50 kg d’hydrogène et pouvoir être prévue pour accueillir, à terme, une capacité de 200 kg minimum par jour. </w:t>
      </w:r>
    </w:p>
    <w:p w:rsidR="004A5847" w:rsidRDefault="004A5847" w:rsidP="004A5847">
      <w:pPr>
        <w:jc w:val="both"/>
        <w:rPr>
          <w:rFonts w:ascii="Verdana" w:hAnsi="Verdana"/>
          <w:sz w:val="20"/>
          <w:szCs w:val="20"/>
        </w:rPr>
      </w:pPr>
    </w:p>
    <w:p w:rsidR="004A5847" w:rsidRPr="008C6779" w:rsidRDefault="004A5847" w:rsidP="004A5847">
      <w:pPr>
        <w:jc w:val="both"/>
        <w:rPr>
          <w:rFonts w:ascii="Verdana" w:hAnsi="Verdana"/>
          <w:b/>
          <w:sz w:val="20"/>
          <w:szCs w:val="20"/>
          <w:u w:val="single"/>
        </w:rPr>
      </w:pPr>
      <w:r w:rsidRPr="008C6779">
        <w:rPr>
          <w:rFonts w:ascii="Verdana" w:hAnsi="Verdana"/>
          <w:b/>
          <w:sz w:val="20"/>
          <w:szCs w:val="20"/>
          <w:u w:val="single"/>
        </w:rPr>
        <w:t>Type de soutien</w:t>
      </w:r>
    </w:p>
    <w:p w:rsidR="004A5847" w:rsidRDefault="004A5847" w:rsidP="004A5847">
      <w:pPr>
        <w:jc w:val="both"/>
        <w:rPr>
          <w:rFonts w:ascii="Verdana" w:hAnsi="Verdana"/>
          <w:sz w:val="20"/>
          <w:szCs w:val="22"/>
        </w:rPr>
      </w:pPr>
    </w:p>
    <w:p w:rsidR="004A5847" w:rsidRDefault="004A5847" w:rsidP="004A5847">
      <w:pPr>
        <w:jc w:val="both"/>
        <w:rPr>
          <w:rFonts w:ascii="Verdana" w:hAnsi="Verdana" w:cs="Verdana"/>
          <w:sz w:val="20"/>
          <w:szCs w:val="20"/>
        </w:rPr>
      </w:pPr>
      <w:r w:rsidRPr="00045827">
        <w:rPr>
          <w:rFonts w:ascii="Verdana" w:hAnsi="Verdana" w:cs="Verdana"/>
          <w:sz w:val="20"/>
          <w:szCs w:val="20"/>
        </w:rPr>
        <w:t>Le soutien est prévu sous forme d’</w:t>
      </w:r>
      <w:r w:rsidRPr="00CE0684">
        <w:rPr>
          <w:rFonts w:ascii="Verdana" w:hAnsi="Verdana" w:cs="Verdana"/>
          <w:b/>
          <w:sz w:val="20"/>
          <w:szCs w:val="20"/>
        </w:rPr>
        <w:t xml:space="preserve">avance récupérable </w:t>
      </w:r>
      <w:r w:rsidRPr="00713A32">
        <w:rPr>
          <w:rFonts w:ascii="Verdana" w:hAnsi="Verdana"/>
          <w:sz w:val="20"/>
          <w:szCs w:val="20"/>
        </w:rPr>
        <w:t xml:space="preserve">(Fonds wallon Kyoto – </w:t>
      </w:r>
      <w:r>
        <w:rPr>
          <w:rFonts w:ascii="Verdana" w:hAnsi="Verdana"/>
          <w:sz w:val="20"/>
          <w:szCs w:val="20"/>
        </w:rPr>
        <w:t>8.000</w:t>
      </w:r>
      <w:r w:rsidRPr="00713A32">
        <w:rPr>
          <w:rFonts w:ascii="Verdana" w:hAnsi="Verdana"/>
          <w:sz w:val="20"/>
          <w:szCs w:val="20"/>
        </w:rPr>
        <w:t xml:space="preserve">.000 euros </w:t>
      </w:r>
      <w:r>
        <w:rPr>
          <w:rFonts w:ascii="Verdana" w:hAnsi="Verdana"/>
          <w:sz w:val="20"/>
          <w:szCs w:val="20"/>
        </w:rPr>
        <w:t xml:space="preserve">et budget classique – 400.000 € </w:t>
      </w:r>
      <w:r w:rsidRPr="00713A32">
        <w:rPr>
          <w:rFonts w:ascii="Verdana" w:hAnsi="Verdana"/>
          <w:sz w:val="20"/>
          <w:szCs w:val="20"/>
        </w:rPr>
        <w:t>– de type « avances récupérables</w:t>
      </w:r>
      <w:r>
        <w:rPr>
          <w:rFonts w:ascii="Verdana" w:hAnsi="Verdana"/>
          <w:sz w:val="20"/>
          <w:szCs w:val="20"/>
        </w:rPr>
        <w:t xml:space="preserve"> – CODE 8</w:t>
      </w:r>
      <w:r w:rsidRPr="00713A32">
        <w:rPr>
          <w:rFonts w:ascii="Verdana" w:hAnsi="Verdana"/>
          <w:sz w:val="20"/>
          <w:szCs w:val="20"/>
        </w:rPr>
        <w:t> »)</w:t>
      </w:r>
      <w:r>
        <w:rPr>
          <w:rFonts w:ascii="Verdana" w:hAnsi="Verdana"/>
          <w:sz w:val="20"/>
          <w:szCs w:val="20"/>
        </w:rPr>
        <w:t xml:space="preserve"> </w:t>
      </w:r>
      <w:r>
        <w:rPr>
          <w:rFonts w:ascii="Verdana" w:hAnsi="Verdana" w:cs="Verdana"/>
          <w:sz w:val="20"/>
          <w:szCs w:val="20"/>
        </w:rPr>
        <w:t>et est défini comme suit :</w:t>
      </w:r>
    </w:p>
    <w:p w:rsidR="004A5847" w:rsidRDefault="004A5847" w:rsidP="004A5847">
      <w:pPr>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9"/>
        <w:gridCol w:w="2229"/>
        <w:gridCol w:w="2230"/>
      </w:tblGrid>
      <w:tr w:rsidR="004A5847" w:rsidRPr="00B13AB1" w:rsidTr="00B11036">
        <w:tc>
          <w:tcPr>
            <w:tcW w:w="5211" w:type="dxa"/>
          </w:tcPr>
          <w:p w:rsidR="004A5847" w:rsidRPr="00B13AB1" w:rsidRDefault="004A5847" w:rsidP="00B11036">
            <w:pPr>
              <w:jc w:val="both"/>
              <w:rPr>
                <w:rFonts w:ascii="Verdana" w:hAnsi="Verdana" w:cs="Verdana"/>
                <w:b/>
                <w:sz w:val="20"/>
                <w:szCs w:val="20"/>
              </w:rPr>
            </w:pPr>
            <w:r>
              <w:rPr>
                <w:rFonts w:ascii="Verdana" w:hAnsi="Verdana" w:cs="Verdana"/>
                <w:b/>
                <w:sz w:val="20"/>
                <w:szCs w:val="20"/>
              </w:rPr>
              <w:t>P</w:t>
            </w:r>
            <w:r w:rsidRPr="00B13AB1">
              <w:rPr>
                <w:rFonts w:ascii="Verdana" w:hAnsi="Verdana" w:cs="Verdana"/>
                <w:b/>
                <w:sz w:val="20"/>
                <w:szCs w:val="20"/>
              </w:rPr>
              <w:t>rojets éligibles</w:t>
            </w:r>
          </w:p>
        </w:tc>
        <w:tc>
          <w:tcPr>
            <w:tcW w:w="2283" w:type="dxa"/>
          </w:tcPr>
          <w:p w:rsidR="004A5847" w:rsidRPr="00B13AB1" w:rsidRDefault="004A5847" w:rsidP="00B11036">
            <w:pPr>
              <w:jc w:val="center"/>
              <w:rPr>
                <w:rFonts w:ascii="Verdana" w:hAnsi="Verdana" w:cs="Verdana"/>
                <w:b/>
                <w:sz w:val="20"/>
                <w:szCs w:val="20"/>
              </w:rPr>
            </w:pPr>
            <w:r w:rsidRPr="00B13AB1">
              <w:rPr>
                <w:rFonts w:ascii="Verdana" w:hAnsi="Verdana" w:cs="Verdana"/>
                <w:b/>
                <w:sz w:val="20"/>
                <w:szCs w:val="20"/>
              </w:rPr>
              <w:t>Pourcentage d’intervention</w:t>
            </w:r>
          </w:p>
        </w:tc>
        <w:tc>
          <w:tcPr>
            <w:tcW w:w="2284" w:type="dxa"/>
          </w:tcPr>
          <w:p w:rsidR="004A5847" w:rsidRPr="00B13AB1" w:rsidRDefault="004A5847" w:rsidP="00B11036">
            <w:pPr>
              <w:jc w:val="center"/>
              <w:rPr>
                <w:rFonts w:ascii="Verdana" w:hAnsi="Verdana" w:cs="Verdana"/>
                <w:b/>
                <w:sz w:val="20"/>
                <w:szCs w:val="20"/>
              </w:rPr>
            </w:pPr>
            <w:r w:rsidRPr="00B13AB1">
              <w:rPr>
                <w:rFonts w:ascii="Verdana" w:hAnsi="Verdana" w:cs="Verdana"/>
                <w:b/>
                <w:sz w:val="20"/>
                <w:szCs w:val="20"/>
              </w:rPr>
              <w:t>Montant maximum d’intervention</w:t>
            </w:r>
          </w:p>
        </w:tc>
      </w:tr>
      <w:tr w:rsidR="004A5847" w:rsidRPr="00B13AB1" w:rsidTr="00B11036">
        <w:tc>
          <w:tcPr>
            <w:tcW w:w="5211" w:type="dxa"/>
          </w:tcPr>
          <w:p w:rsidR="004A5847" w:rsidRPr="00B13AB1" w:rsidRDefault="004A5847" w:rsidP="00B11036">
            <w:pPr>
              <w:jc w:val="both"/>
              <w:rPr>
                <w:rFonts w:ascii="Verdana" w:hAnsi="Verdana" w:cs="Verdana"/>
                <w:sz w:val="20"/>
                <w:szCs w:val="20"/>
              </w:rPr>
            </w:pPr>
            <w:r w:rsidRPr="00B13AB1">
              <w:rPr>
                <w:rFonts w:ascii="Verdana" w:hAnsi="Verdana"/>
                <w:sz w:val="20"/>
                <w:szCs w:val="20"/>
              </w:rPr>
              <w:t>Bornes d’une puissance nominale inférieure ou égale à 4kW pour le chargement de vélos, speed-</w:t>
            </w:r>
            <w:proofErr w:type="spellStart"/>
            <w:r w:rsidRPr="00B13AB1">
              <w:rPr>
                <w:rFonts w:ascii="Verdana" w:hAnsi="Verdana"/>
                <w:sz w:val="20"/>
                <w:szCs w:val="20"/>
              </w:rPr>
              <w:t>pedelecs</w:t>
            </w:r>
            <w:proofErr w:type="spellEnd"/>
            <w:r w:rsidRPr="00B13AB1">
              <w:rPr>
                <w:rFonts w:ascii="Verdana" w:hAnsi="Verdana"/>
                <w:sz w:val="20"/>
                <w:szCs w:val="20"/>
              </w:rPr>
              <w:t xml:space="preserve"> ou véhicules légers </w:t>
            </w:r>
          </w:p>
        </w:tc>
        <w:tc>
          <w:tcPr>
            <w:tcW w:w="2283"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50</w:t>
            </w:r>
          </w:p>
        </w:tc>
        <w:tc>
          <w:tcPr>
            <w:tcW w:w="2284"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20.000 €</w:t>
            </w:r>
          </w:p>
        </w:tc>
      </w:tr>
      <w:tr w:rsidR="004A5847" w:rsidRPr="00B13AB1" w:rsidTr="00B11036">
        <w:tc>
          <w:tcPr>
            <w:tcW w:w="5211" w:type="dxa"/>
          </w:tcPr>
          <w:p w:rsidR="004A5847" w:rsidRPr="00B13AB1" w:rsidRDefault="004A5847" w:rsidP="00B11036">
            <w:pPr>
              <w:jc w:val="both"/>
              <w:rPr>
                <w:rFonts w:ascii="Verdana" w:hAnsi="Verdana"/>
                <w:sz w:val="20"/>
                <w:szCs w:val="20"/>
              </w:rPr>
            </w:pPr>
            <w:r w:rsidRPr="00B13AB1">
              <w:rPr>
                <w:rFonts w:ascii="Verdana" w:hAnsi="Verdana"/>
                <w:sz w:val="20"/>
                <w:szCs w:val="20"/>
              </w:rPr>
              <w:t>Bornes d’une puissance nominale supérieure à 4kW et inférieure ou égale à 22kW et/ou</w:t>
            </w:r>
          </w:p>
          <w:p w:rsidR="004A5847" w:rsidRPr="00B13AB1" w:rsidRDefault="004A5847" w:rsidP="00B11036">
            <w:pPr>
              <w:jc w:val="both"/>
              <w:rPr>
                <w:rFonts w:ascii="Verdana" w:hAnsi="Verdana"/>
                <w:sz w:val="20"/>
                <w:szCs w:val="20"/>
              </w:rPr>
            </w:pPr>
            <w:r w:rsidRPr="00B13AB1">
              <w:rPr>
                <w:rFonts w:ascii="Verdana" w:hAnsi="Verdana"/>
                <w:sz w:val="20"/>
                <w:szCs w:val="20"/>
              </w:rPr>
              <w:t>Bornes d’une puissance nominale supérieure à 22 kW et inférieure ou égale à 50kW (1)</w:t>
            </w:r>
          </w:p>
        </w:tc>
        <w:tc>
          <w:tcPr>
            <w:tcW w:w="2283"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50</w:t>
            </w:r>
          </w:p>
        </w:tc>
        <w:tc>
          <w:tcPr>
            <w:tcW w:w="2284"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500.000 €</w:t>
            </w:r>
          </w:p>
        </w:tc>
      </w:tr>
      <w:tr w:rsidR="004A5847" w:rsidRPr="00B13AB1" w:rsidTr="00B11036">
        <w:tc>
          <w:tcPr>
            <w:tcW w:w="5211" w:type="dxa"/>
          </w:tcPr>
          <w:p w:rsidR="004A5847" w:rsidRPr="00B13AB1" w:rsidRDefault="004A5847" w:rsidP="00B11036">
            <w:pPr>
              <w:jc w:val="both"/>
              <w:rPr>
                <w:rFonts w:ascii="Verdana" w:hAnsi="Verdana" w:cs="Verdana"/>
                <w:sz w:val="20"/>
                <w:szCs w:val="20"/>
              </w:rPr>
            </w:pPr>
            <w:r w:rsidRPr="00B13AB1">
              <w:rPr>
                <w:rFonts w:ascii="Verdana" w:hAnsi="Verdana" w:cs="Verdana"/>
                <w:sz w:val="20"/>
                <w:szCs w:val="20"/>
              </w:rPr>
              <w:t>Infrastructure de distribution de GNC</w:t>
            </w:r>
          </w:p>
        </w:tc>
        <w:tc>
          <w:tcPr>
            <w:tcW w:w="2283"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50</w:t>
            </w:r>
          </w:p>
        </w:tc>
        <w:tc>
          <w:tcPr>
            <w:tcW w:w="2284"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1.000.000 €</w:t>
            </w:r>
          </w:p>
        </w:tc>
      </w:tr>
      <w:tr w:rsidR="004A5847" w:rsidRPr="00B13AB1" w:rsidTr="00B11036">
        <w:tc>
          <w:tcPr>
            <w:tcW w:w="5211" w:type="dxa"/>
          </w:tcPr>
          <w:p w:rsidR="004A5847" w:rsidRPr="00CE0684" w:rsidRDefault="004A5847" w:rsidP="00B11036">
            <w:pPr>
              <w:jc w:val="both"/>
              <w:rPr>
                <w:rFonts w:ascii="Verdana" w:hAnsi="Verdana" w:cs="Verdana"/>
                <w:b/>
                <w:sz w:val="20"/>
                <w:szCs w:val="20"/>
              </w:rPr>
            </w:pPr>
            <w:r w:rsidRPr="00CE0684">
              <w:rPr>
                <w:rFonts w:ascii="Verdana" w:hAnsi="Verdana" w:cs="Verdana"/>
                <w:b/>
                <w:sz w:val="20"/>
                <w:szCs w:val="20"/>
              </w:rPr>
              <w:t xml:space="preserve">Infrastructure de distribution de </w:t>
            </w:r>
            <w:proofErr w:type="spellStart"/>
            <w:r w:rsidRPr="00CE0684">
              <w:rPr>
                <w:rFonts w:ascii="Verdana" w:hAnsi="Verdana" w:cs="Verdana"/>
                <w:b/>
                <w:sz w:val="20"/>
                <w:szCs w:val="20"/>
              </w:rPr>
              <w:t>bioGNC</w:t>
            </w:r>
            <w:proofErr w:type="spellEnd"/>
            <w:r w:rsidRPr="00CE0684">
              <w:rPr>
                <w:rFonts w:ascii="Verdana" w:hAnsi="Verdana" w:cs="Verdana"/>
                <w:b/>
                <w:sz w:val="20"/>
                <w:szCs w:val="20"/>
              </w:rPr>
              <w:t xml:space="preserve"> (2)</w:t>
            </w:r>
          </w:p>
        </w:tc>
        <w:tc>
          <w:tcPr>
            <w:tcW w:w="2283" w:type="dxa"/>
          </w:tcPr>
          <w:p w:rsidR="004A5847" w:rsidRPr="00CE0684" w:rsidRDefault="004A5847" w:rsidP="00B11036">
            <w:pPr>
              <w:jc w:val="center"/>
              <w:rPr>
                <w:rFonts w:ascii="Verdana" w:hAnsi="Verdana" w:cs="Verdana"/>
                <w:b/>
                <w:sz w:val="20"/>
                <w:szCs w:val="20"/>
              </w:rPr>
            </w:pPr>
            <w:r w:rsidRPr="00CE0684">
              <w:rPr>
                <w:rFonts w:ascii="Verdana" w:hAnsi="Verdana" w:cs="Verdana"/>
                <w:b/>
                <w:sz w:val="20"/>
                <w:szCs w:val="20"/>
              </w:rPr>
              <w:t>75</w:t>
            </w:r>
          </w:p>
        </w:tc>
        <w:tc>
          <w:tcPr>
            <w:tcW w:w="2284" w:type="dxa"/>
          </w:tcPr>
          <w:p w:rsidR="004A5847" w:rsidRPr="00CE0684" w:rsidRDefault="004A5847" w:rsidP="00B11036">
            <w:pPr>
              <w:jc w:val="center"/>
              <w:rPr>
                <w:rFonts w:ascii="Verdana" w:hAnsi="Verdana" w:cs="Verdana"/>
                <w:b/>
                <w:sz w:val="20"/>
                <w:szCs w:val="20"/>
              </w:rPr>
            </w:pPr>
            <w:r w:rsidRPr="00CE0684">
              <w:rPr>
                <w:rFonts w:ascii="Verdana" w:hAnsi="Verdana" w:cs="Verdana"/>
                <w:b/>
                <w:sz w:val="20"/>
                <w:szCs w:val="20"/>
              </w:rPr>
              <w:t>1.500.000 €</w:t>
            </w:r>
          </w:p>
        </w:tc>
      </w:tr>
      <w:tr w:rsidR="004A5847" w:rsidRPr="00B13AB1" w:rsidTr="00B11036">
        <w:tc>
          <w:tcPr>
            <w:tcW w:w="5211" w:type="dxa"/>
          </w:tcPr>
          <w:p w:rsidR="004A5847" w:rsidRPr="00B13AB1" w:rsidRDefault="004A5847" w:rsidP="00B11036">
            <w:pPr>
              <w:jc w:val="both"/>
              <w:rPr>
                <w:rFonts w:ascii="Verdana" w:hAnsi="Verdana" w:cs="Verdana"/>
                <w:sz w:val="20"/>
                <w:szCs w:val="20"/>
              </w:rPr>
            </w:pPr>
            <w:r w:rsidRPr="00B13AB1">
              <w:rPr>
                <w:rFonts w:ascii="Verdana" w:hAnsi="Verdana" w:cs="Verdana"/>
                <w:sz w:val="20"/>
                <w:szCs w:val="20"/>
              </w:rPr>
              <w:t>Infrastructure de distribution de GNL</w:t>
            </w:r>
          </w:p>
        </w:tc>
        <w:tc>
          <w:tcPr>
            <w:tcW w:w="2283"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50</w:t>
            </w:r>
          </w:p>
        </w:tc>
        <w:tc>
          <w:tcPr>
            <w:tcW w:w="2284"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2.000.000 €</w:t>
            </w:r>
          </w:p>
        </w:tc>
      </w:tr>
      <w:tr w:rsidR="004A5847" w:rsidRPr="00B13AB1" w:rsidTr="00B11036">
        <w:tc>
          <w:tcPr>
            <w:tcW w:w="5211" w:type="dxa"/>
          </w:tcPr>
          <w:p w:rsidR="004A5847" w:rsidRPr="00CE0684" w:rsidRDefault="004A5847" w:rsidP="00B11036">
            <w:pPr>
              <w:jc w:val="both"/>
              <w:rPr>
                <w:rFonts w:ascii="Verdana" w:hAnsi="Verdana" w:cs="Verdana"/>
                <w:b/>
                <w:sz w:val="20"/>
                <w:szCs w:val="20"/>
              </w:rPr>
            </w:pPr>
            <w:r w:rsidRPr="00CE0684">
              <w:rPr>
                <w:rFonts w:ascii="Verdana" w:hAnsi="Verdana" w:cs="Verdana"/>
                <w:b/>
                <w:sz w:val="20"/>
                <w:szCs w:val="20"/>
              </w:rPr>
              <w:t xml:space="preserve">Infrastructure de distribution de </w:t>
            </w:r>
            <w:proofErr w:type="spellStart"/>
            <w:r w:rsidRPr="00CE0684">
              <w:rPr>
                <w:rFonts w:ascii="Verdana" w:hAnsi="Verdana" w:cs="Verdana"/>
                <w:b/>
                <w:sz w:val="20"/>
                <w:szCs w:val="20"/>
              </w:rPr>
              <w:t>bioGNL</w:t>
            </w:r>
            <w:proofErr w:type="spellEnd"/>
            <w:r w:rsidRPr="00CE0684">
              <w:rPr>
                <w:rFonts w:ascii="Verdana" w:hAnsi="Verdana" w:cs="Verdana"/>
                <w:b/>
                <w:sz w:val="20"/>
                <w:szCs w:val="20"/>
              </w:rPr>
              <w:t xml:space="preserve"> (2)</w:t>
            </w:r>
          </w:p>
        </w:tc>
        <w:tc>
          <w:tcPr>
            <w:tcW w:w="2283" w:type="dxa"/>
          </w:tcPr>
          <w:p w:rsidR="004A5847" w:rsidRPr="00CE0684" w:rsidRDefault="004A5847" w:rsidP="00B11036">
            <w:pPr>
              <w:jc w:val="center"/>
              <w:rPr>
                <w:rFonts w:ascii="Verdana" w:hAnsi="Verdana" w:cs="Verdana"/>
                <w:b/>
                <w:sz w:val="20"/>
                <w:szCs w:val="20"/>
              </w:rPr>
            </w:pPr>
            <w:r w:rsidRPr="00CE0684">
              <w:rPr>
                <w:rFonts w:ascii="Verdana" w:hAnsi="Verdana" w:cs="Verdana"/>
                <w:b/>
                <w:sz w:val="20"/>
                <w:szCs w:val="20"/>
              </w:rPr>
              <w:t>75</w:t>
            </w:r>
          </w:p>
        </w:tc>
        <w:tc>
          <w:tcPr>
            <w:tcW w:w="2284" w:type="dxa"/>
          </w:tcPr>
          <w:p w:rsidR="004A5847" w:rsidRPr="00CE0684" w:rsidRDefault="004A5847" w:rsidP="00B11036">
            <w:pPr>
              <w:jc w:val="center"/>
              <w:rPr>
                <w:rFonts w:ascii="Verdana" w:hAnsi="Verdana" w:cs="Verdana"/>
                <w:b/>
                <w:sz w:val="20"/>
                <w:szCs w:val="20"/>
              </w:rPr>
            </w:pPr>
            <w:r w:rsidRPr="00CE0684">
              <w:rPr>
                <w:rFonts w:ascii="Verdana" w:hAnsi="Verdana" w:cs="Verdana"/>
                <w:b/>
                <w:sz w:val="20"/>
                <w:szCs w:val="20"/>
              </w:rPr>
              <w:t>2.500.000 €</w:t>
            </w:r>
          </w:p>
        </w:tc>
      </w:tr>
      <w:tr w:rsidR="004A5847" w:rsidRPr="00B13AB1" w:rsidTr="00B11036">
        <w:tc>
          <w:tcPr>
            <w:tcW w:w="5211" w:type="dxa"/>
          </w:tcPr>
          <w:p w:rsidR="004A5847" w:rsidRPr="00B13AB1" w:rsidRDefault="004A5847" w:rsidP="00B11036">
            <w:pPr>
              <w:jc w:val="both"/>
              <w:rPr>
                <w:rFonts w:ascii="Verdana" w:hAnsi="Verdana" w:cs="Verdana"/>
                <w:sz w:val="20"/>
                <w:szCs w:val="20"/>
              </w:rPr>
            </w:pPr>
            <w:r w:rsidRPr="00B13AB1">
              <w:rPr>
                <w:rFonts w:ascii="Verdana" w:hAnsi="Verdana" w:cs="Verdana"/>
                <w:sz w:val="20"/>
                <w:szCs w:val="20"/>
              </w:rPr>
              <w:t>Infrastructure de distribution en hydrogène</w:t>
            </w:r>
          </w:p>
        </w:tc>
        <w:tc>
          <w:tcPr>
            <w:tcW w:w="2283"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50</w:t>
            </w:r>
          </w:p>
        </w:tc>
        <w:tc>
          <w:tcPr>
            <w:tcW w:w="2284"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2.000.000 €</w:t>
            </w:r>
          </w:p>
        </w:tc>
      </w:tr>
      <w:tr w:rsidR="004A5847" w:rsidRPr="00B13AB1" w:rsidTr="00B11036">
        <w:tc>
          <w:tcPr>
            <w:tcW w:w="5211" w:type="dxa"/>
          </w:tcPr>
          <w:p w:rsidR="004A5847" w:rsidRPr="00B13AB1" w:rsidRDefault="004A5847" w:rsidP="00B11036">
            <w:pPr>
              <w:jc w:val="both"/>
              <w:rPr>
                <w:rFonts w:ascii="Verdana" w:hAnsi="Verdana" w:cs="Verdana"/>
                <w:sz w:val="20"/>
                <w:szCs w:val="20"/>
              </w:rPr>
            </w:pPr>
            <w:r w:rsidRPr="00B13AB1">
              <w:rPr>
                <w:rFonts w:ascii="Verdana" w:hAnsi="Verdana" w:cs="Verdana"/>
                <w:sz w:val="20"/>
                <w:szCs w:val="20"/>
              </w:rPr>
              <w:t>Portefeuilles présentant plusieurs types de carburants</w:t>
            </w:r>
          </w:p>
        </w:tc>
        <w:tc>
          <w:tcPr>
            <w:tcW w:w="2283"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50</w:t>
            </w:r>
          </w:p>
        </w:tc>
        <w:tc>
          <w:tcPr>
            <w:tcW w:w="2284" w:type="dxa"/>
          </w:tcPr>
          <w:p w:rsidR="004A5847" w:rsidRPr="00B13AB1" w:rsidRDefault="004A5847" w:rsidP="00B11036">
            <w:pPr>
              <w:jc w:val="center"/>
              <w:rPr>
                <w:rFonts w:ascii="Verdana" w:hAnsi="Verdana" w:cs="Verdana"/>
                <w:sz w:val="20"/>
                <w:szCs w:val="20"/>
              </w:rPr>
            </w:pPr>
            <w:r w:rsidRPr="00B13AB1">
              <w:rPr>
                <w:rFonts w:ascii="Verdana" w:hAnsi="Verdana" w:cs="Verdana"/>
                <w:sz w:val="20"/>
                <w:szCs w:val="20"/>
              </w:rPr>
              <w:t>2.000.000 €</w:t>
            </w:r>
          </w:p>
        </w:tc>
      </w:tr>
    </w:tbl>
    <w:p w:rsidR="004A5847" w:rsidRPr="000774BD" w:rsidRDefault="004A5847" w:rsidP="004A5847">
      <w:pPr>
        <w:widowControl w:val="0"/>
        <w:numPr>
          <w:ilvl w:val="0"/>
          <w:numId w:val="4"/>
        </w:numPr>
        <w:suppressAutoHyphens/>
        <w:jc w:val="both"/>
        <w:rPr>
          <w:rFonts w:ascii="Verdana" w:hAnsi="Verdana" w:cs="Verdana"/>
          <w:sz w:val="20"/>
          <w:szCs w:val="20"/>
        </w:rPr>
      </w:pPr>
      <w:r>
        <w:rPr>
          <w:rFonts w:ascii="Verdana" w:hAnsi="Verdana"/>
          <w:sz w:val="20"/>
          <w:szCs w:val="20"/>
        </w:rPr>
        <w:t xml:space="preserve"> Les portefeuilles reprenant des b</w:t>
      </w:r>
      <w:r w:rsidRPr="00F91D0B">
        <w:rPr>
          <w:rFonts w:ascii="Verdana" w:hAnsi="Verdana"/>
          <w:sz w:val="20"/>
          <w:szCs w:val="20"/>
        </w:rPr>
        <w:t>ornes d’une puissance nominale inférieure ou égale à 4kW</w:t>
      </w:r>
      <w:r>
        <w:rPr>
          <w:rFonts w:ascii="Verdana" w:hAnsi="Verdana"/>
          <w:sz w:val="20"/>
          <w:szCs w:val="20"/>
        </w:rPr>
        <w:t xml:space="preserve"> sont autorisés pour autant que ce type de bornes n’excède pas 10% de la valeur du portefeuille.</w:t>
      </w:r>
    </w:p>
    <w:p w:rsidR="004A5847" w:rsidRDefault="004A5847" w:rsidP="004A5847">
      <w:pPr>
        <w:widowControl w:val="0"/>
        <w:numPr>
          <w:ilvl w:val="0"/>
          <w:numId w:val="4"/>
        </w:numPr>
        <w:suppressAutoHyphens/>
        <w:jc w:val="both"/>
        <w:rPr>
          <w:rFonts w:ascii="Verdana" w:hAnsi="Verdana" w:cs="Verdana"/>
          <w:sz w:val="20"/>
          <w:szCs w:val="20"/>
        </w:rPr>
      </w:pPr>
      <w:r>
        <w:rPr>
          <w:rFonts w:ascii="Verdana" w:hAnsi="Verdana"/>
          <w:sz w:val="20"/>
          <w:szCs w:val="20"/>
        </w:rPr>
        <w:t xml:space="preserve">Les portefeuilles reprenant des infrastructures dispensant du </w:t>
      </w:r>
      <w:proofErr w:type="spellStart"/>
      <w:r>
        <w:rPr>
          <w:rFonts w:ascii="Verdana" w:hAnsi="Verdana"/>
          <w:sz w:val="20"/>
          <w:szCs w:val="20"/>
        </w:rPr>
        <w:t>bioGNC</w:t>
      </w:r>
      <w:proofErr w:type="spellEnd"/>
      <w:r>
        <w:rPr>
          <w:rFonts w:ascii="Verdana" w:hAnsi="Verdana"/>
          <w:sz w:val="20"/>
          <w:szCs w:val="20"/>
        </w:rPr>
        <w:t xml:space="preserve"> et ou du </w:t>
      </w:r>
      <w:proofErr w:type="spellStart"/>
      <w:r>
        <w:rPr>
          <w:rFonts w:ascii="Verdana" w:hAnsi="Verdana"/>
          <w:sz w:val="20"/>
          <w:szCs w:val="20"/>
        </w:rPr>
        <w:t>bioGNL</w:t>
      </w:r>
      <w:proofErr w:type="spellEnd"/>
      <w:r>
        <w:rPr>
          <w:rFonts w:ascii="Verdana" w:hAnsi="Verdana"/>
          <w:sz w:val="20"/>
          <w:szCs w:val="20"/>
        </w:rPr>
        <w:t xml:space="preserve"> ne pourront exclusivement reprendre que ce type d’infrastructure. Tout prestataire désirant également proposer des infrastructures dispensant du gaz naturel fossile devra introduire un dossier distinct.</w:t>
      </w:r>
    </w:p>
    <w:p w:rsidR="004A5847" w:rsidRDefault="004A5847" w:rsidP="004A5847">
      <w:pPr>
        <w:jc w:val="both"/>
        <w:rPr>
          <w:rFonts w:ascii="Verdana" w:hAnsi="Verdana" w:cs="Verdana"/>
          <w:sz w:val="20"/>
          <w:szCs w:val="20"/>
        </w:rPr>
      </w:pPr>
    </w:p>
    <w:p w:rsidR="004A5847" w:rsidRDefault="004A5847" w:rsidP="004A5847">
      <w:pPr>
        <w:jc w:val="both"/>
        <w:rPr>
          <w:rFonts w:ascii="Verdana" w:hAnsi="Verdana" w:cs="Verdana"/>
          <w:sz w:val="20"/>
          <w:szCs w:val="20"/>
        </w:rPr>
      </w:pPr>
      <w:r>
        <w:rPr>
          <w:rFonts w:ascii="Verdana" w:hAnsi="Verdana" w:cs="Verdana"/>
          <w:sz w:val="20"/>
          <w:szCs w:val="20"/>
        </w:rPr>
        <w:t xml:space="preserve">Tout proposant est autorisé à introduire plusieurs portefeuilles de projets. </w:t>
      </w:r>
    </w:p>
    <w:p w:rsidR="004A5847" w:rsidRDefault="004A5847" w:rsidP="004A5847">
      <w:pPr>
        <w:jc w:val="both"/>
        <w:rPr>
          <w:rFonts w:ascii="Verdana" w:hAnsi="Verdana" w:cs="Verdana"/>
          <w:sz w:val="20"/>
          <w:szCs w:val="20"/>
        </w:rPr>
      </w:pPr>
    </w:p>
    <w:p w:rsidR="004A5847" w:rsidRDefault="004A5847" w:rsidP="004A5847">
      <w:pPr>
        <w:jc w:val="both"/>
        <w:rPr>
          <w:rFonts w:ascii="Verdana" w:hAnsi="Verdana" w:cs="Verdana"/>
          <w:sz w:val="20"/>
          <w:szCs w:val="20"/>
        </w:rPr>
      </w:pPr>
      <w:r>
        <w:rPr>
          <w:rFonts w:ascii="Verdana" w:hAnsi="Verdana" w:cs="Verdana"/>
          <w:sz w:val="20"/>
          <w:szCs w:val="20"/>
        </w:rPr>
        <w:t>Les investissements attendus dans le cas de portefeuilles ne reprenant que des bornes de chargement pour véhicules électriques doivent impérativement être réalisés dans au moins deux communes.</w:t>
      </w:r>
    </w:p>
    <w:p w:rsidR="004A5847" w:rsidRDefault="004A5847" w:rsidP="004A5847">
      <w:pPr>
        <w:jc w:val="both"/>
        <w:rPr>
          <w:rFonts w:ascii="Verdana" w:hAnsi="Verdana" w:cs="Verdana"/>
          <w:sz w:val="20"/>
          <w:szCs w:val="20"/>
        </w:rPr>
      </w:pPr>
    </w:p>
    <w:p w:rsidR="004A5847" w:rsidRDefault="004A5847" w:rsidP="004A5847">
      <w:pPr>
        <w:jc w:val="both"/>
        <w:rPr>
          <w:rFonts w:ascii="Verdana" w:hAnsi="Verdana"/>
          <w:b/>
          <w:sz w:val="20"/>
          <w:szCs w:val="20"/>
          <w:u w:val="single"/>
        </w:rPr>
      </w:pPr>
      <w:r w:rsidRPr="00C90435">
        <w:rPr>
          <w:rFonts w:ascii="Verdana" w:hAnsi="Verdana"/>
          <w:b/>
          <w:sz w:val="20"/>
          <w:szCs w:val="20"/>
          <w:u w:val="single"/>
        </w:rPr>
        <w:t>Eligibilité</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 xml:space="preserve">Les </w:t>
      </w:r>
      <w:r w:rsidRPr="00FB0AD1">
        <w:rPr>
          <w:rFonts w:ascii="Verdana" w:hAnsi="Verdana"/>
          <w:sz w:val="20"/>
          <w:szCs w:val="20"/>
        </w:rPr>
        <w:t>porteur</w:t>
      </w:r>
      <w:r>
        <w:rPr>
          <w:rFonts w:ascii="Verdana" w:hAnsi="Verdana"/>
          <w:sz w:val="20"/>
          <w:szCs w:val="20"/>
        </w:rPr>
        <w:t>s</w:t>
      </w:r>
      <w:r w:rsidRPr="00FB0AD1">
        <w:rPr>
          <w:rFonts w:ascii="Verdana" w:hAnsi="Verdana"/>
          <w:sz w:val="20"/>
          <w:szCs w:val="20"/>
        </w:rPr>
        <w:t xml:space="preserve"> de projet </w:t>
      </w:r>
      <w:r>
        <w:rPr>
          <w:rFonts w:ascii="Verdana" w:hAnsi="Verdana"/>
          <w:sz w:val="20"/>
          <w:szCs w:val="20"/>
        </w:rPr>
        <w:t xml:space="preserve">seront des acteurs privés tels que des entreprises commerciales ou des </w:t>
      </w:r>
      <w:r w:rsidRPr="00FB0AD1">
        <w:rPr>
          <w:rFonts w:ascii="Verdana" w:hAnsi="Verdana"/>
          <w:sz w:val="20"/>
          <w:szCs w:val="20"/>
        </w:rPr>
        <w:t>associations dotées de la personnalité juridique</w:t>
      </w:r>
      <w:r>
        <w:rPr>
          <w:rFonts w:ascii="Verdana" w:hAnsi="Verdana"/>
          <w:sz w:val="20"/>
          <w:szCs w:val="20"/>
        </w:rPr>
        <w:t>. Le porteur de projet devra pouvoir</w:t>
      </w:r>
      <w:r w:rsidRPr="00C90435">
        <w:rPr>
          <w:rFonts w:ascii="Verdana" w:hAnsi="Verdana"/>
          <w:sz w:val="20"/>
          <w:szCs w:val="20"/>
        </w:rPr>
        <w:t xml:space="preserve"> </w:t>
      </w:r>
      <w:r>
        <w:rPr>
          <w:rFonts w:ascii="Verdana" w:hAnsi="Verdana"/>
          <w:sz w:val="20"/>
          <w:szCs w:val="20"/>
        </w:rPr>
        <w:t>garantir la pérennité</w:t>
      </w:r>
      <w:r w:rsidRPr="00FB0AD1">
        <w:rPr>
          <w:rFonts w:ascii="Verdana" w:hAnsi="Verdana"/>
          <w:sz w:val="20"/>
          <w:szCs w:val="20"/>
        </w:rPr>
        <w:t xml:space="preserve"> du projet</w:t>
      </w:r>
      <w:r>
        <w:rPr>
          <w:rFonts w:ascii="Verdana" w:hAnsi="Verdana"/>
          <w:sz w:val="20"/>
          <w:szCs w:val="20"/>
        </w:rPr>
        <w:t>. Le présent appel est également ouvert à des opérateurs privés établis en société commerciales et dont le siège est domicilié dans un des pays de l’Union européenne.</w:t>
      </w:r>
    </w:p>
    <w:p w:rsidR="004A5847" w:rsidRDefault="004A5847" w:rsidP="004A5847">
      <w:pPr>
        <w:jc w:val="both"/>
        <w:rPr>
          <w:rFonts w:ascii="Verdana" w:hAnsi="Verdana"/>
          <w:sz w:val="20"/>
          <w:szCs w:val="20"/>
        </w:rPr>
      </w:pPr>
    </w:p>
    <w:p w:rsidR="004A5847" w:rsidRDefault="004A5847" w:rsidP="004A5847">
      <w:pPr>
        <w:jc w:val="both"/>
        <w:rPr>
          <w:rFonts w:ascii="Verdana" w:hAnsi="Verdana"/>
          <w:b/>
          <w:sz w:val="20"/>
          <w:szCs w:val="20"/>
          <w:u w:val="single"/>
        </w:rPr>
      </w:pPr>
      <w:r>
        <w:rPr>
          <w:rFonts w:ascii="Verdana" w:hAnsi="Verdana"/>
          <w:b/>
          <w:sz w:val="20"/>
          <w:szCs w:val="20"/>
          <w:u w:val="single"/>
        </w:rPr>
        <w:t>Accessibilité des infrastructures</w:t>
      </w:r>
    </w:p>
    <w:p w:rsidR="004A5847" w:rsidRDefault="004A5847" w:rsidP="004A5847">
      <w:pPr>
        <w:jc w:val="both"/>
        <w:rPr>
          <w:rFonts w:ascii="Verdana" w:hAnsi="Verdana"/>
          <w:sz w:val="20"/>
          <w:szCs w:val="20"/>
        </w:rPr>
      </w:pPr>
    </w:p>
    <w:p w:rsidR="004A5847" w:rsidRPr="00773A3D" w:rsidRDefault="004A5847" w:rsidP="004A5847">
      <w:pPr>
        <w:jc w:val="both"/>
        <w:rPr>
          <w:rFonts w:ascii="Verdana" w:hAnsi="Verdana"/>
          <w:sz w:val="20"/>
          <w:szCs w:val="20"/>
        </w:rPr>
      </w:pPr>
      <w:r>
        <w:rPr>
          <w:rFonts w:ascii="Verdana" w:hAnsi="Verdana"/>
          <w:sz w:val="20"/>
          <w:szCs w:val="20"/>
        </w:rPr>
        <w:t xml:space="preserve">Les </w:t>
      </w:r>
      <w:r w:rsidRPr="00FB0AD1">
        <w:rPr>
          <w:rFonts w:ascii="Verdana" w:hAnsi="Verdana"/>
          <w:sz w:val="20"/>
          <w:szCs w:val="20"/>
        </w:rPr>
        <w:t>porteur</w:t>
      </w:r>
      <w:r>
        <w:rPr>
          <w:rFonts w:ascii="Verdana" w:hAnsi="Verdana"/>
          <w:sz w:val="20"/>
          <w:szCs w:val="20"/>
        </w:rPr>
        <w:t>s</w:t>
      </w:r>
      <w:r w:rsidRPr="00FB0AD1">
        <w:rPr>
          <w:rFonts w:ascii="Verdana" w:hAnsi="Verdana"/>
          <w:sz w:val="20"/>
          <w:szCs w:val="20"/>
        </w:rPr>
        <w:t xml:space="preserve"> de projet </w:t>
      </w:r>
      <w:r>
        <w:rPr>
          <w:rFonts w:ascii="Verdana" w:hAnsi="Verdana"/>
          <w:sz w:val="20"/>
          <w:szCs w:val="20"/>
        </w:rPr>
        <w:t>devront garantir un a</w:t>
      </w:r>
      <w:r w:rsidRPr="00FB0AD1">
        <w:rPr>
          <w:rFonts w:ascii="Verdana" w:hAnsi="Verdana"/>
          <w:sz w:val="20"/>
          <w:szCs w:val="20"/>
        </w:rPr>
        <w:t xml:space="preserve">ccès </w:t>
      </w:r>
      <w:r>
        <w:rPr>
          <w:rFonts w:ascii="Verdana" w:hAnsi="Verdana"/>
          <w:sz w:val="20"/>
          <w:szCs w:val="20"/>
        </w:rPr>
        <w:t xml:space="preserve">aux infrastructures sans contrainte </w:t>
      </w:r>
      <w:r w:rsidRPr="00773A3D">
        <w:rPr>
          <w:rFonts w:ascii="Verdana" w:hAnsi="Verdana"/>
          <w:sz w:val="20"/>
          <w:szCs w:val="20"/>
        </w:rPr>
        <w:t xml:space="preserve">particulière et de façon à les maximiser. </w:t>
      </w:r>
    </w:p>
    <w:p w:rsidR="004A5847" w:rsidRPr="00773A3D" w:rsidRDefault="004A5847" w:rsidP="004A5847">
      <w:pPr>
        <w:jc w:val="both"/>
        <w:rPr>
          <w:rFonts w:ascii="Verdana" w:hAnsi="Verdana"/>
          <w:sz w:val="20"/>
          <w:szCs w:val="20"/>
        </w:rPr>
      </w:pPr>
    </w:p>
    <w:p w:rsidR="004A5847" w:rsidRDefault="004A5847" w:rsidP="004A5847">
      <w:pPr>
        <w:jc w:val="both"/>
        <w:rPr>
          <w:rFonts w:ascii="Verdana" w:hAnsi="Verdana"/>
          <w:sz w:val="20"/>
          <w:szCs w:val="20"/>
          <w:lang w:eastAsia="fr-BE"/>
        </w:rPr>
      </w:pPr>
      <w:r w:rsidRPr="00773A3D">
        <w:rPr>
          <w:rFonts w:ascii="Verdana" w:hAnsi="Verdana"/>
          <w:sz w:val="20"/>
          <w:szCs w:val="20"/>
        </w:rPr>
        <w:lastRenderedPageBreak/>
        <w:t>En ce qui concerne les bornes de chargement, l</w:t>
      </w:r>
      <w:r w:rsidRPr="00773A3D">
        <w:rPr>
          <w:rFonts w:ascii="Verdana" w:hAnsi="Verdana"/>
          <w:sz w:val="20"/>
          <w:szCs w:val="20"/>
          <w:lang w:eastAsia="fr-BE"/>
        </w:rPr>
        <w:t xml:space="preserve">es porteurs de projet doivent en garantir un accès 24 heures sur 24 et 7 jours sur 7. Cet accès, doit pouvoir se faire sans contrainte particulière et de façon à maximiser l’accès aux bornes de rechargement. Conformément à l’article 4, alinéa 9 de la Directive 2014/94/UE : « Tous les points de rechargement ouverts au public prévoient, en outre, la possibilité d'un rechargement ad hoc pour les utilisateurs de véhicules électriques sans souscription d'un contrat avec le fournisseur d'électricité ou l'exploitant concerné ». </w:t>
      </w:r>
    </w:p>
    <w:p w:rsidR="004A5847" w:rsidRPr="00773A3D" w:rsidRDefault="004A5847" w:rsidP="004A5847">
      <w:pPr>
        <w:jc w:val="both"/>
        <w:rPr>
          <w:rFonts w:ascii="Verdana" w:hAnsi="Verdana"/>
          <w:sz w:val="20"/>
          <w:szCs w:val="20"/>
          <w:lang w:eastAsia="fr-BE"/>
        </w:rPr>
      </w:pPr>
    </w:p>
    <w:p w:rsidR="004A5847" w:rsidRPr="00773A3D" w:rsidRDefault="004A5847" w:rsidP="004A5847">
      <w:pPr>
        <w:jc w:val="both"/>
        <w:rPr>
          <w:rFonts w:ascii="Verdana" w:hAnsi="Verdana"/>
          <w:sz w:val="20"/>
          <w:szCs w:val="20"/>
          <w:lang w:eastAsia="fr-BE"/>
        </w:rPr>
      </w:pPr>
      <w:r w:rsidRPr="00773A3D">
        <w:rPr>
          <w:rFonts w:ascii="Verdana" w:hAnsi="Verdana"/>
          <w:sz w:val="20"/>
          <w:szCs w:val="20"/>
          <w:lang w:eastAsia="fr-BE"/>
        </w:rPr>
        <w:t>Le mécanisme de vente de service de fourniture d’électricité devra être le plus universel possible en permettant le payement par abonnement fixe, par payement direct ou par utilisation d’autres abonnements préexistants.</w:t>
      </w:r>
    </w:p>
    <w:p w:rsidR="004A5847" w:rsidRPr="00773A3D" w:rsidRDefault="004A5847" w:rsidP="004A5847">
      <w:pPr>
        <w:jc w:val="both"/>
        <w:rPr>
          <w:rFonts w:ascii="Verdana" w:hAnsi="Verdana"/>
          <w:sz w:val="20"/>
          <w:szCs w:val="20"/>
          <w:lang w:eastAsia="fr-BE"/>
        </w:rPr>
      </w:pPr>
    </w:p>
    <w:p w:rsidR="004A5847" w:rsidRPr="00773A3D" w:rsidRDefault="004A5847" w:rsidP="004A5847">
      <w:pPr>
        <w:jc w:val="both"/>
        <w:rPr>
          <w:rFonts w:ascii="Verdana" w:hAnsi="Verdana"/>
          <w:sz w:val="20"/>
          <w:szCs w:val="20"/>
          <w:lang w:eastAsia="fr-BE"/>
        </w:rPr>
      </w:pPr>
      <w:r w:rsidRPr="00773A3D">
        <w:rPr>
          <w:rFonts w:ascii="Verdana" w:hAnsi="Verdana"/>
          <w:sz w:val="20"/>
          <w:szCs w:val="20"/>
          <w:lang w:eastAsia="fr-BE"/>
        </w:rPr>
        <w:t>Il sera également demandé que les emplacements visés aient un temps d’immobilisation limité pour chaque véhicule en cours de rechargement afin d’en permettre une optimisation de l’usage. Le projet devra explicitement spécifier les mesures envisagées afin de limiter le temps d’immobilisation.</w:t>
      </w:r>
    </w:p>
    <w:p w:rsidR="004A5847" w:rsidRDefault="004A5847" w:rsidP="004A5847">
      <w:pPr>
        <w:jc w:val="both"/>
        <w:rPr>
          <w:rFonts w:ascii="Verdana" w:hAnsi="Verdana" w:cs="Verdana"/>
          <w:sz w:val="20"/>
          <w:szCs w:val="20"/>
        </w:rPr>
      </w:pPr>
    </w:p>
    <w:p w:rsidR="004A5847" w:rsidRDefault="004A5847" w:rsidP="004A5847">
      <w:pPr>
        <w:jc w:val="both"/>
        <w:rPr>
          <w:rFonts w:ascii="Verdana" w:hAnsi="Verdana"/>
          <w:b/>
          <w:sz w:val="20"/>
          <w:szCs w:val="20"/>
          <w:u w:val="single"/>
        </w:rPr>
      </w:pPr>
      <w:r>
        <w:rPr>
          <w:rFonts w:ascii="Verdana" w:hAnsi="Verdana"/>
          <w:b/>
          <w:sz w:val="20"/>
          <w:szCs w:val="20"/>
          <w:u w:val="single"/>
        </w:rPr>
        <w:t>Zones géographiques</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 xml:space="preserve">Les </w:t>
      </w:r>
      <w:r w:rsidRPr="00FB0AD1">
        <w:rPr>
          <w:rFonts w:ascii="Verdana" w:hAnsi="Verdana"/>
          <w:sz w:val="20"/>
          <w:szCs w:val="20"/>
        </w:rPr>
        <w:t>porteur</w:t>
      </w:r>
      <w:r>
        <w:rPr>
          <w:rFonts w:ascii="Verdana" w:hAnsi="Verdana"/>
          <w:sz w:val="20"/>
          <w:szCs w:val="20"/>
        </w:rPr>
        <w:t>s</w:t>
      </w:r>
      <w:r w:rsidRPr="00FB0AD1">
        <w:rPr>
          <w:rFonts w:ascii="Verdana" w:hAnsi="Verdana"/>
          <w:sz w:val="20"/>
          <w:szCs w:val="20"/>
        </w:rPr>
        <w:t xml:space="preserve"> de projet </w:t>
      </w:r>
      <w:r>
        <w:rPr>
          <w:rFonts w:ascii="Verdana" w:hAnsi="Verdana"/>
          <w:sz w:val="20"/>
          <w:szCs w:val="20"/>
        </w:rPr>
        <w:t xml:space="preserve">devront définir l’intégration de leur(s) projet(s) dans une stratégie globale liée tant aux besoins du territoire de référence que dans le cadre des enjeux liés à la mobilité. Par territoire de référence, il est entendu tant les zones urbaines, </w:t>
      </w:r>
      <w:proofErr w:type="spellStart"/>
      <w:r>
        <w:rPr>
          <w:rFonts w:ascii="Verdana" w:hAnsi="Verdana"/>
          <w:sz w:val="20"/>
          <w:szCs w:val="20"/>
        </w:rPr>
        <w:t>péri-urbaines</w:t>
      </w:r>
      <w:proofErr w:type="spellEnd"/>
      <w:r>
        <w:rPr>
          <w:rFonts w:ascii="Verdana" w:hAnsi="Verdana"/>
          <w:sz w:val="20"/>
          <w:szCs w:val="20"/>
        </w:rPr>
        <w:t xml:space="preserve">, les zones d’intérêt économiques que les zones rurales. Les infrastructures peuvent être envisagées tant sur le réseau routier structurant que le réseau non structurant. </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 xml:space="preserve">En ce qui concerne les infrastructures à l’hydrogène ou au GNL, l’inclusion dans le tissu économique et l’accessibilité au réseau structurant seront essentiellement mises en avant. </w:t>
      </w:r>
    </w:p>
    <w:p w:rsidR="004A5847" w:rsidRPr="00773A3D" w:rsidRDefault="004A5847" w:rsidP="004A5847">
      <w:pPr>
        <w:jc w:val="both"/>
        <w:rPr>
          <w:rFonts w:ascii="Verdana" w:hAnsi="Verdana"/>
          <w:sz w:val="20"/>
          <w:szCs w:val="20"/>
        </w:rPr>
      </w:pPr>
    </w:p>
    <w:p w:rsidR="004A5847" w:rsidRPr="00773A3D" w:rsidRDefault="004A5847" w:rsidP="004A5847">
      <w:pPr>
        <w:jc w:val="both"/>
        <w:rPr>
          <w:rFonts w:ascii="Verdana" w:hAnsi="Verdana"/>
          <w:sz w:val="20"/>
          <w:szCs w:val="20"/>
          <w:lang w:eastAsia="fr-BE"/>
        </w:rPr>
      </w:pPr>
      <w:r w:rsidRPr="00773A3D">
        <w:rPr>
          <w:rFonts w:ascii="Verdana" w:hAnsi="Verdana"/>
          <w:sz w:val="20"/>
          <w:szCs w:val="20"/>
          <w:lang w:eastAsia="fr-BE"/>
        </w:rPr>
        <w:t xml:space="preserve">En ce qui concerne les bornes, la stratégie spécifiée devra intégrer, parmi ses options, le principe du « charger </w:t>
      </w:r>
      <w:proofErr w:type="spellStart"/>
      <w:r w:rsidRPr="00773A3D">
        <w:rPr>
          <w:rFonts w:ascii="Verdana" w:hAnsi="Verdana"/>
          <w:sz w:val="20"/>
          <w:szCs w:val="20"/>
          <w:lang w:eastAsia="fr-BE"/>
        </w:rPr>
        <w:t>follows</w:t>
      </w:r>
      <w:proofErr w:type="spellEnd"/>
      <w:r w:rsidRPr="00773A3D">
        <w:rPr>
          <w:rFonts w:ascii="Verdana" w:hAnsi="Verdana"/>
          <w:sz w:val="20"/>
          <w:szCs w:val="20"/>
          <w:lang w:eastAsia="fr-BE"/>
        </w:rPr>
        <w:t xml:space="preserve"> cars » afin de couvrir en premier lieu les zones où la demande est actuellement la pl</w:t>
      </w:r>
      <w:r>
        <w:rPr>
          <w:rFonts w:ascii="Verdana" w:hAnsi="Verdana"/>
          <w:sz w:val="20"/>
          <w:szCs w:val="20"/>
          <w:lang w:eastAsia="fr-BE"/>
        </w:rPr>
        <w:t>us importante ou celles particulièrement en déficit du point de vue du nombre de points de ravitaillement ou de bornes de rechargement</w:t>
      </w:r>
      <w:r w:rsidRPr="00773A3D">
        <w:rPr>
          <w:rFonts w:ascii="Verdana" w:hAnsi="Verdana"/>
          <w:sz w:val="20"/>
          <w:szCs w:val="20"/>
          <w:lang w:eastAsia="fr-BE"/>
        </w:rPr>
        <w:t>.</w:t>
      </w:r>
    </w:p>
    <w:p w:rsidR="004A5847" w:rsidRPr="00773A3D" w:rsidRDefault="004A5847" w:rsidP="004A5847">
      <w:pPr>
        <w:jc w:val="both"/>
        <w:rPr>
          <w:rFonts w:ascii="Verdana" w:hAnsi="Verdana"/>
          <w:sz w:val="20"/>
          <w:szCs w:val="20"/>
        </w:rPr>
      </w:pPr>
      <w:r w:rsidRPr="00773A3D">
        <w:rPr>
          <w:rFonts w:ascii="Verdana" w:hAnsi="Verdana"/>
          <w:sz w:val="20"/>
          <w:szCs w:val="20"/>
        </w:rPr>
        <w:t xml:space="preserve"> </w:t>
      </w:r>
    </w:p>
    <w:p w:rsidR="004A5847" w:rsidRPr="00B05241" w:rsidRDefault="004A5847" w:rsidP="004A5847">
      <w:pPr>
        <w:jc w:val="both"/>
        <w:rPr>
          <w:rFonts w:ascii="Verdana" w:hAnsi="Verdana"/>
          <w:b/>
          <w:sz w:val="20"/>
          <w:szCs w:val="20"/>
          <w:u w:val="single"/>
        </w:rPr>
      </w:pPr>
      <w:r w:rsidRPr="007D5DD3">
        <w:rPr>
          <w:rFonts w:ascii="Verdana" w:hAnsi="Verdana"/>
          <w:b/>
          <w:sz w:val="20"/>
          <w:szCs w:val="20"/>
          <w:u w:val="single"/>
        </w:rPr>
        <w:t xml:space="preserve">Typologie des </w:t>
      </w:r>
      <w:r>
        <w:rPr>
          <w:rFonts w:ascii="Verdana" w:hAnsi="Verdana"/>
          <w:b/>
          <w:sz w:val="20"/>
          <w:szCs w:val="20"/>
          <w:u w:val="single"/>
        </w:rPr>
        <w:t>infrastructures</w:t>
      </w:r>
    </w:p>
    <w:p w:rsidR="004A5847" w:rsidRPr="007D5DD3" w:rsidRDefault="004A5847" w:rsidP="004A5847">
      <w:pPr>
        <w:ind w:left="720"/>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Les infrastructures devront être conformes aux dispositions sectorielles en la matière et aux prescrits de la Directive 2014/94/UE sur le déploiement d’une infrastructure en carburants alternatifs</w:t>
      </w:r>
      <w:r w:rsidRPr="00FB0AD1">
        <w:rPr>
          <w:rFonts w:ascii="Verdana" w:hAnsi="Verdana"/>
          <w:sz w:val="20"/>
          <w:szCs w:val="20"/>
        </w:rPr>
        <w:t xml:space="preserve">. </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Pour rappel, au niveau international, les normes existantes sont les suivantes :</w:t>
      </w:r>
    </w:p>
    <w:p w:rsidR="004A5847" w:rsidRDefault="004A5847" w:rsidP="004A5847">
      <w:pPr>
        <w:jc w:val="both"/>
        <w:rPr>
          <w:rFonts w:ascii="Verdana" w:hAnsi="Verdana"/>
          <w:sz w:val="20"/>
          <w:szCs w:val="20"/>
        </w:rPr>
      </w:pPr>
    </w:p>
    <w:p w:rsidR="004A5847" w:rsidRPr="00AB43D7" w:rsidRDefault="004A5847" w:rsidP="004A5847">
      <w:pPr>
        <w:numPr>
          <w:ilvl w:val="0"/>
          <w:numId w:val="6"/>
        </w:numPr>
        <w:jc w:val="both"/>
        <w:rPr>
          <w:rFonts w:ascii="Verdana" w:hAnsi="Verdana"/>
          <w:sz w:val="20"/>
          <w:szCs w:val="20"/>
          <w:lang w:eastAsia="fr-BE"/>
        </w:rPr>
      </w:pPr>
      <w:r w:rsidRPr="00AB43D7">
        <w:rPr>
          <w:rFonts w:ascii="Verdana" w:hAnsi="Verdana"/>
          <w:sz w:val="20"/>
          <w:szCs w:val="20"/>
          <w:lang w:eastAsia="fr-BE"/>
        </w:rPr>
        <w:t>EN62196-2 Points de recharge électrique normaux pour véhicules à moteur ou pour les points de recharge à haute puissance en courant alternatif (CA)</w:t>
      </w:r>
    </w:p>
    <w:p w:rsidR="004A5847" w:rsidRPr="0095407E" w:rsidRDefault="004A5847" w:rsidP="004A5847">
      <w:pPr>
        <w:numPr>
          <w:ilvl w:val="0"/>
          <w:numId w:val="6"/>
        </w:numPr>
        <w:jc w:val="both"/>
        <w:rPr>
          <w:rFonts w:ascii="Verdana" w:hAnsi="Verdana"/>
          <w:sz w:val="20"/>
          <w:szCs w:val="20"/>
        </w:rPr>
      </w:pPr>
      <w:r w:rsidRPr="00AB43D7">
        <w:rPr>
          <w:rFonts w:ascii="Verdana" w:hAnsi="Verdana"/>
          <w:sz w:val="20"/>
          <w:szCs w:val="20"/>
          <w:lang w:eastAsia="fr-BE"/>
        </w:rPr>
        <w:t>EN62196-3 Points de recharge à haute puissance en courant continu (CC)</w:t>
      </w:r>
    </w:p>
    <w:p w:rsidR="004A5847" w:rsidRPr="0095407E" w:rsidRDefault="004A5847" w:rsidP="004A5847">
      <w:pPr>
        <w:numPr>
          <w:ilvl w:val="0"/>
          <w:numId w:val="6"/>
        </w:numPr>
        <w:rPr>
          <w:rFonts w:ascii="Verdana" w:hAnsi="Verdana"/>
          <w:sz w:val="20"/>
          <w:szCs w:val="20"/>
          <w:lang w:eastAsia="fr-BE"/>
        </w:rPr>
      </w:pPr>
      <w:r w:rsidRPr="000F10CC">
        <w:rPr>
          <w:rFonts w:ascii="Verdana" w:hAnsi="Verdana"/>
          <w:sz w:val="20"/>
          <w:szCs w:val="20"/>
          <w:lang w:eastAsia="fr-BE"/>
        </w:rPr>
        <w:t xml:space="preserve">EN 16723-1:2016 (Gaz naturel et </w:t>
      </w:r>
      <w:proofErr w:type="spellStart"/>
      <w:r w:rsidRPr="000F10CC">
        <w:rPr>
          <w:rFonts w:ascii="Verdana" w:hAnsi="Verdana"/>
          <w:sz w:val="20"/>
          <w:szCs w:val="20"/>
          <w:lang w:eastAsia="fr-BE"/>
        </w:rPr>
        <w:t>biométhane</w:t>
      </w:r>
      <w:proofErr w:type="spellEnd"/>
      <w:r w:rsidRPr="000F10CC">
        <w:rPr>
          <w:rFonts w:ascii="Verdana" w:hAnsi="Verdana"/>
          <w:sz w:val="20"/>
          <w:szCs w:val="20"/>
          <w:lang w:eastAsia="fr-BE"/>
        </w:rPr>
        <w:t xml:space="preserve"> pour utilisation dans le transport et </w:t>
      </w:r>
      <w:proofErr w:type="spellStart"/>
      <w:r w:rsidRPr="000F10CC">
        <w:rPr>
          <w:rFonts w:ascii="Verdana" w:hAnsi="Verdana"/>
          <w:sz w:val="20"/>
          <w:szCs w:val="20"/>
          <w:lang w:eastAsia="fr-BE"/>
        </w:rPr>
        <w:t>biométhane</w:t>
      </w:r>
      <w:proofErr w:type="spellEnd"/>
      <w:r w:rsidRPr="000F10CC">
        <w:rPr>
          <w:rFonts w:ascii="Verdana" w:hAnsi="Verdana"/>
          <w:sz w:val="20"/>
          <w:szCs w:val="20"/>
          <w:lang w:eastAsia="fr-BE"/>
        </w:rPr>
        <w:t xml:space="preserve"> pour injection dans les réseaux de gaz naturel - Partie 1 - Spécifications du </w:t>
      </w:r>
      <w:proofErr w:type="spellStart"/>
      <w:r w:rsidRPr="000F10CC">
        <w:rPr>
          <w:rFonts w:ascii="Verdana" w:hAnsi="Verdana"/>
          <w:sz w:val="20"/>
          <w:szCs w:val="20"/>
          <w:lang w:eastAsia="fr-BE"/>
        </w:rPr>
        <w:t>biométhane</w:t>
      </w:r>
      <w:proofErr w:type="spellEnd"/>
      <w:r w:rsidRPr="000F10CC">
        <w:rPr>
          <w:rFonts w:ascii="Verdana" w:hAnsi="Verdana"/>
          <w:sz w:val="20"/>
          <w:szCs w:val="20"/>
          <w:lang w:eastAsia="fr-BE"/>
        </w:rPr>
        <w:t xml:space="preserve"> pour injection dans les réseaux de gaz naturel)</w:t>
      </w:r>
    </w:p>
    <w:p w:rsidR="004A5847" w:rsidRPr="00AB43D7" w:rsidRDefault="004A5847" w:rsidP="004A5847">
      <w:pPr>
        <w:numPr>
          <w:ilvl w:val="0"/>
          <w:numId w:val="6"/>
        </w:numPr>
        <w:rPr>
          <w:rFonts w:ascii="Verdana" w:hAnsi="Verdana"/>
          <w:sz w:val="20"/>
          <w:szCs w:val="20"/>
          <w:lang w:eastAsia="fr-BE"/>
        </w:rPr>
      </w:pPr>
      <w:r w:rsidRPr="000F10CC">
        <w:rPr>
          <w:rFonts w:ascii="Verdana" w:hAnsi="Verdana"/>
          <w:sz w:val="20"/>
          <w:szCs w:val="20"/>
          <w:lang w:eastAsia="fr-BE"/>
        </w:rPr>
        <w:t xml:space="preserve">EN 16723-2:2017 (Gaz naturel et </w:t>
      </w:r>
      <w:proofErr w:type="spellStart"/>
      <w:r w:rsidRPr="000F10CC">
        <w:rPr>
          <w:rFonts w:ascii="Verdana" w:hAnsi="Verdana"/>
          <w:sz w:val="20"/>
          <w:szCs w:val="20"/>
          <w:lang w:eastAsia="fr-BE"/>
        </w:rPr>
        <w:t>biométhane</w:t>
      </w:r>
      <w:proofErr w:type="spellEnd"/>
      <w:r w:rsidRPr="000F10CC">
        <w:rPr>
          <w:rFonts w:ascii="Verdana" w:hAnsi="Verdana"/>
          <w:sz w:val="20"/>
          <w:szCs w:val="20"/>
          <w:lang w:eastAsia="fr-BE"/>
        </w:rPr>
        <w:t xml:space="preserve"> pour utilisation dans le transport et </w:t>
      </w:r>
      <w:proofErr w:type="spellStart"/>
      <w:r w:rsidRPr="000F10CC">
        <w:rPr>
          <w:rFonts w:ascii="Verdana" w:hAnsi="Verdana"/>
          <w:sz w:val="20"/>
          <w:szCs w:val="20"/>
          <w:lang w:eastAsia="fr-BE"/>
        </w:rPr>
        <w:t>biométhane</w:t>
      </w:r>
      <w:proofErr w:type="spellEnd"/>
      <w:r w:rsidRPr="000F10CC">
        <w:rPr>
          <w:rFonts w:ascii="Verdana" w:hAnsi="Verdana"/>
          <w:sz w:val="20"/>
          <w:szCs w:val="20"/>
          <w:lang w:eastAsia="fr-BE"/>
        </w:rPr>
        <w:t xml:space="preserve"> </w:t>
      </w:r>
      <w:r w:rsidRPr="00AB43D7">
        <w:rPr>
          <w:rFonts w:ascii="Verdana" w:hAnsi="Verdana"/>
          <w:sz w:val="20"/>
          <w:szCs w:val="20"/>
          <w:lang w:eastAsia="fr-BE"/>
        </w:rPr>
        <w:t>pour injection dans les réseaux de gaz naturel - Partie 2 : Spécifications du carburant pour véhicules automobiles)</w:t>
      </w:r>
    </w:p>
    <w:p w:rsidR="004A5847" w:rsidRDefault="004A5847" w:rsidP="004A5847">
      <w:pPr>
        <w:jc w:val="both"/>
        <w:rPr>
          <w:rFonts w:ascii="Verdana" w:hAnsi="Verdana" w:cs="Verdana"/>
          <w:sz w:val="20"/>
          <w:szCs w:val="20"/>
        </w:rPr>
      </w:pPr>
    </w:p>
    <w:p w:rsidR="004A5847" w:rsidRDefault="004A5847" w:rsidP="004A5847">
      <w:pPr>
        <w:jc w:val="both"/>
        <w:rPr>
          <w:rFonts w:ascii="Verdana" w:hAnsi="Verdana" w:cs="Verdana"/>
          <w:sz w:val="20"/>
          <w:szCs w:val="20"/>
        </w:rPr>
      </w:pPr>
      <w:r>
        <w:rPr>
          <w:rFonts w:ascii="Verdana" w:hAnsi="Verdana" w:cs="Verdana"/>
          <w:sz w:val="20"/>
          <w:szCs w:val="20"/>
        </w:rPr>
        <w:t>Le gaz naturel qu’il soit comprimé ou liquéfié, le biogaz</w:t>
      </w:r>
      <w:r w:rsidRPr="00ED2CD4">
        <w:rPr>
          <w:rFonts w:ascii="Verdana" w:hAnsi="Verdana" w:cs="Verdana"/>
          <w:sz w:val="20"/>
          <w:szCs w:val="20"/>
        </w:rPr>
        <w:t xml:space="preserve"> </w:t>
      </w:r>
      <w:r>
        <w:rPr>
          <w:rFonts w:ascii="Verdana" w:hAnsi="Verdana" w:cs="Verdana"/>
          <w:sz w:val="20"/>
          <w:szCs w:val="20"/>
        </w:rPr>
        <w:t>qu’il soit comprimé ou liquéfié et l’hydrogène dispensé aux infrastructures devront répondre aux normes et standard en vigueur pour l’alimentation des véhicules terrestres.</w:t>
      </w:r>
    </w:p>
    <w:p w:rsidR="004A5847" w:rsidRDefault="004A5847" w:rsidP="004A5847">
      <w:pPr>
        <w:jc w:val="both"/>
        <w:rPr>
          <w:rFonts w:ascii="Verdana" w:hAnsi="Verdana" w:cs="Verdana"/>
          <w:sz w:val="20"/>
          <w:szCs w:val="20"/>
        </w:rPr>
      </w:pPr>
    </w:p>
    <w:p w:rsidR="004A5847" w:rsidRDefault="004A5847" w:rsidP="004A5847">
      <w:pPr>
        <w:jc w:val="both"/>
        <w:rPr>
          <w:rFonts w:ascii="Verdana" w:hAnsi="Verdana" w:cs="Verdana"/>
          <w:sz w:val="20"/>
          <w:szCs w:val="20"/>
        </w:rPr>
      </w:pPr>
    </w:p>
    <w:p w:rsidR="004A5847" w:rsidRDefault="004A5847" w:rsidP="004A5847">
      <w:pPr>
        <w:jc w:val="both"/>
        <w:rPr>
          <w:rFonts w:ascii="Verdana" w:hAnsi="Verdana"/>
          <w:sz w:val="20"/>
          <w:szCs w:val="20"/>
        </w:rPr>
      </w:pPr>
      <w:r>
        <w:rPr>
          <w:rFonts w:ascii="Verdana" w:hAnsi="Verdana"/>
          <w:b/>
          <w:sz w:val="20"/>
          <w:szCs w:val="20"/>
          <w:u w:val="single"/>
        </w:rPr>
        <w:t>Mécanisme de remboursement de l’aide</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sidRPr="00D630A9">
        <w:rPr>
          <w:rFonts w:ascii="Verdana" w:hAnsi="Verdana"/>
          <w:sz w:val="20"/>
          <w:szCs w:val="20"/>
        </w:rPr>
        <w:t>S’agissant d’un mécanisme de soutien par avance récupérable, un engagement inconditionnel sera demandé au porteur de projet. Un plan d’amo</w:t>
      </w:r>
      <w:r>
        <w:rPr>
          <w:rFonts w:ascii="Verdana" w:hAnsi="Verdana"/>
          <w:sz w:val="20"/>
          <w:szCs w:val="20"/>
        </w:rPr>
        <w:t>rtissement linéaire sera</w:t>
      </w:r>
      <w:r w:rsidRPr="00D630A9">
        <w:rPr>
          <w:rFonts w:ascii="Verdana" w:hAnsi="Verdana"/>
          <w:sz w:val="20"/>
          <w:szCs w:val="20"/>
        </w:rPr>
        <w:t xml:space="preserve"> proposé par le porteur de projet et ensuite arrêté par le </w:t>
      </w:r>
      <w:r w:rsidRPr="003262B8">
        <w:rPr>
          <w:rFonts w:ascii="Verdana" w:hAnsi="Verdana"/>
          <w:sz w:val="20"/>
          <w:szCs w:val="20"/>
        </w:rPr>
        <w:t>Gouvernement. Le porteur de projet pourra également proposer une période de remboursement prévue entre 5 et 10 ans</w:t>
      </w:r>
      <w:r>
        <w:rPr>
          <w:rFonts w:ascii="Verdana" w:hAnsi="Verdana"/>
          <w:sz w:val="20"/>
          <w:szCs w:val="20"/>
        </w:rPr>
        <w:t xml:space="preserve"> (7 ans pour les bornes de chargement)</w:t>
      </w:r>
      <w:r w:rsidRPr="003262B8">
        <w:rPr>
          <w:rFonts w:ascii="Verdana" w:hAnsi="Verdana"/>
          <w:sz w:val="20"/>
          <w:szCs w:val="20"/>
        </w:rPr>
        <w:t>, afin de permettre au modèle économique de s’établir (les premières</w:t>
      </w:r>
      <w:r w:rsidRPr="00FB0AD1">
        <w:rPr>
          <w:rFonts w:ascii="Verdana" w:hAnsi="Verdana"/>
          <w:sz w:val="20"/>
          <w:szCs w:val="20"/>
        </w:rPr>
        <w:t xml:space="preserve"> années étant généralement moins rentables que les dernières). </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Une formule de remboursement anticipé devra également être proposée par le porteur si la rentabilité s’avère proche des estimations théoriques.</w:t>
      </w:r>
    </w:p>
    <w:p w:rsidR="004A5847" w:rsidRDefault="004A5847" w:rsidP="004A5847">
      <w:pPr>
        <w:jc w:val="both"/>
        <w:rPr>
          <w:rFonts w:ascii="Verdana" w:hAnsi="Verdana"/>
          <w:sz w:val="20"/>
          <w:szCs w:val="20"/>
        </w:rPr>
      </w:pPr>
    </w:p>
    <w:p w:rsidR="004A5847" w:rsidRPr="0095658A" w:rsidRDefault="004A5847" w:rsidP="004A5847">
      <w:pPr>
        <w:jc w:val="both"/>
        <w:rPr>
          <w:rFonts w:ascii="Verdana" w:hAnsi="Verdana"/>
          <w:sz w:val="20"/>
          <w:szCs w:val="20"/>
        </w:rPr>
      </w:pPr>
      <w:r>
        <w:rPr>
          <w:rFonts w:ascii="Verdana" w:hAnsi="Verdana"/>
          <w:sz w:val="20"/>
          <w:szCs w:val="20"/>
        </w:rPr>
        <w:t xml:space="preserve">Un taux </w:t>
      </w:r>
      <w:r w:rsidRPr="00FB1D26">
        <w:rPr>
          <w:rFonts w:ascii="Verdana" w:hAnsi="Verdana"/>
          <w:sz w:val="20"/>
          <w:szCs w:val="20"/>
        </w:rPr>
        <w:t>d’intérêt de 0,82% sera appliqué aux remboursements conformément aux dispositions du Règlement de la Commission (EC) No 794/2004 du 21 avril 2004 implémentant le Règlement du Conseil (EC)</w:t>
      </w:r>
      <w:r>
        <w:rPr>
          <w:rFonts w:ascii="Verdana" w:hAnsi="Verdana"/>
          <w:sz w:val="20"/>
          <w:szCs w:val="20"/>
        </w:rPr>
        <w:t xml:space="preserve"> </w:t>
      </w:r>
      <w:r w:rsidRPr="00FB1D26">
        <w:rPr>
          <w:rFonts w:ascii="Verdana" w:hAnsi="Verdana"/>
          <w:sz w:val="20"/>
          <w:szCs w:val="20"/>
        </w:rPr>
        <w:t>No 659/1999</w:t>
      </w:r>
      <w:r>
        <w:rPr>
          <w:rFonts w:ascii="Verdana" w:hAnsi="Verdana"/>
          <w:sz w:val="20"/>
          <w:szCs w:val="20"/>
        </w:rPr>
        <w:t xml:space="preserve"> </w:t>
      </w:r>
      <w:r w:rsidRPr="0095658A">
        <w:rPr>
          <w:rFonts w:ascii="Verdana" w:hAnsi="Verdana"/>
          <w:sz w:val="20"/>
          <w:szCs w:val="20"/>
        </w:rPr>
        <w:t xml:space="preserve">(le taux d’actualisation </w:t>
      </w:r>
      <w:r>
        <w:rPr>
          <w:rFonts w:ascii="Verdana" w:hAnsi="Verdana"/>
          <w:sz w:val="20"/>
          <w:szCs w:val="20"/>
        </w:rPr>
        <w:t>est</w:t>
      </w:r>
      <w:r w:rsidRPr="0095658A">
        <w:rPr>
          <w:rFonts w:ascii="Verdana" w:hAnsi="Verdana"/>
          <w:sz w:val="20"/>
          <w:szCs w:val="20"/>
        </w:rPr>
        <w:t xml:space="preserve"> calculé en ajoutant 100 points de base au taux de base</w:t>
      </w:r>
      <w:r>
        <w:rPr>
          <w:rFonts w:ascii="Verdana" w:hAnsi="Verdana"/>
          <w:sz w:val="20"/>
          <w:szCs w:val="20"/>
        </w:rPr>
        <w:t>, celui-ci étant de -0,18% au 1</w:t>
      </w:r>
      <w:r w:rsidRPr="0095658A">
        <w:rPr>
          <w:rFonts w:ascii="Verdana" w:hAnsi="Verdana"/>
          <w:sz w:val="20"/>
          <w:szCs w:val="20"/>
          <w:vertAlign w:val="superscript"/>
        </w:rPr>
        <w:t>er</w:t>
      </w:r>
      <w:r>
        <w:rPr>
          <w:rFonts w:ascii="Verdana" w:hAnsi="Verdana"/>
          <w:sz w:val="20"/>
          <w:szCs w:val="20"/>
        </w:rPr>
        <w:t xml:space="preserve"> janvier 2019).</w:t>
      </w:r>
    </w:p>
    <w:p w:rsidR="004A5847" w:rsidRPr="007D5DD3" w:rsidRDefault="004A5847" w:rsidP="004A5847">
      <w:pPr>
        <w:jc w:val="both"/>
        <w:rPr>
          <w:rFonts w:ascii="Verdana" w:hAnsi="Verdana"/>
          <w:sz w:val="20"/>
          <w:szCs w:val="20"/>
        </w:rPr>
      </w:pPr>
    </w:p>
    <w:p w:rsidR="004A5847" w:rsidRPr="00405C45" w:rsidRDefault="004A5847" w:rsidP="004A5847">
      <w:pPr>
        <w:jc w:val="both"/>
        <w:rPr>
          <w:rFonts w:ascii="Verdana" w:hAnsi="Verdana"/>
          <w:sz w:val="20"/>
          <w:szCs w:val="20"/>
        </w:rPr>
      </w:pPr>
      <w:r>
        <w:rPr>
          <w:rFonts w:ascii="Verdana" w:hAnsi="Verdana"/>
          <w:b/>
          <w:sz w:val="20"/>
          <w:szCs w:val="20"/>
          <w:u w:val="single"/>
        </w:rPr>
        <w:t>Eligibilité des dépenses</w:t>
      </w:r>
    </w:p>
    <w:p w:rsidR="004A5847" w:rsidRDefault="004A5847" w:rsidP="004A5847">
      <w:pPr>
        <w:jc w:val="both"/>
        <w:rPr>
          <w:rFonts w:ascii="Verdana" w:hAnsi="Verdana"/>
          <w:b/>
          <w:sz w:val="20"/>
          <w:szCs w:val="20"/>
          <w:u w:val="single"/>
        </w:rPr>
      </w:pPr>
    </w:p>
    <w:p w:rsidR="004A5847" w:rsidRDefault="004A5847" w:rsidP="004A5847">
      <w:pPr>
        <w:widowControl w:val="0"/>
        <w:numPr>
          <w:ilvl w:val="0"/>
          <w:numId w:val="5"/>
        </w:numPr>
        <w:suppressAutoHyphens/>
        <w:jc w:val="both"/>
        <w:rPr>
          <w:rFonts w:ascii="Verdana" w:hAnsi="Verdana"/>
          <w:b/>
          <w:sz w:val="20"/>
          <w:szCs w:val="20"/>
          <w:u w:val="single"/>
        </w:rPr>
      </w:pPr>
      <w:r w:rsidRPr="00A104A9">
        <w:rPr>
          <w:rFonts w:ascii="Verdana" w:hAnsi="Verdana"/>
          <w:b/>
          <w:sz w:val="20"/>
          <w:szCs w:val="20"/>
          <w:u w:val="single"/>
        </w:rPr>
        <w:t>Pour les bornes de chargement</w:t>
      </w:r>
    </w:p>
    <w:p w:rsidR="004A5847" w:rsidRPr="004A114E" w:rsidRDefault="004A5847" w:rsidP="004A5847">
      <w:pPr>
        <w:jc w:val="both"/>
        <w:rPr>
          <w:rFonts w:ascii="Verdana" w:hAnsi="Verdana"/>
          <w:b/>
          <w:sz w:val="20"/>
          <w:szCs w:val="20"/>
          <w:u w:val="single"/>
        </w:rPr>
      </w:pPr>
    </w:p>
    <w:p w:rsidR="004A5847" w:rsidRPr="004A114E" w:rsidRDefault="004A5847" w:rsidP="004A5847">
      <w:pPr>
        <w:rPr>
          <w:rFonts w:ascii="Verdana" w:hAnsi="Verdana"/>
          <w:sz w:val="20"/>
          <w:szCs w:val="20"/>
          <w:lang w:eastAsia="fr-BE"/>
        </w:rPr>
      </w:pPr>
      <w:r w:rsidRPr="004A114E">
        <w:rPr>
          <w:rFonts w:ascii="Verdana" w:hAnsi="Verdana"/>
          <w:sz w:val="20"/>
          <w:szCs w:val="20"/>
          <w:lang w:eastAsia="fr-BE"/>
        </w:rPr>
        <w:t>Sont éligibles au financement</w:t>
      </w:r>
      <w:r>
        <w:rPr>
          <w:rFonts w:ascii="Verdana" w:hAnsi="Verdana"/>
          <w:sz w:val="20"/>
          <w:szCs w:val="20"/>
          <w:lang w:eastAsia="fr-BE"/>
        </w:rPr>
        <w:t xml:space="preserve"> </w:t>
      </w:r>
      <w:r w:rsidRPr="004A114E">
        <w:rPr>
          <w:rFonts w:ascii="Verdana" w:hAnsi="Verdana"/>
          <w:sz w:val="20"/>
          <w:szCs w:val="20"/>
          <w:lang w:eastAsia="fr-BE"/>
        </w:rPr>
        <w:t>:</w:t>
      </w:r>
    </w:p>
    <w:p w:rsidR="004A5847" w:rsidRDefault="004A5847" w:rsidP="004A5847">
      <w:pPr>
        <w:numPr>
          <w:ilvl w:val="0"/>
          <w:numId w:val="1"/>
        </w:numPr>
        <w:rPr>
          <w:rFonts w:ascii="Verdana" w:hAnsi="Verdana"/>
          <w:sz w:val="20"/>
          <w:szCs w:val="20"/>
          <w:lang w:eastAsia="fr-BE"/>
        </w:rPr>
      </w:pPr>
      <w:r w:rsidRPr="004A114E">
        <w:rPr>
          <w:rFonts w:ascii="Verdana" w:hAnsi="Verdana"/>
          <w:sz w:val="20"/>
          <w:szCs w:val="20"/>
          <w:lang w:eastAsia="fr-BE"/>
        </w:rPr>
        <w:t>les frais d'acquisition de matériel et de logiciel</w:t>
      </w:r>
      <w:r>
        <w:rPr>
          <w:rFonts w:ascii="Verdana" w:hAnsi="Verdana"/>
          <w:sz w:val="20"/>
          <w:szCs w:val="20"/>
          <w:lang w:eastAsia="fr-BE"/>
        </w:rPr>
        <w:t xml:space="preserve"> </w:t>
      </w:r>
      <w:r w:rsidRPr="004A114E">
        <w:rPr>
          <w:rFonts w:ascii="Verdana" w:hAnsi="Verdana"/>
          <w:sz w:val="20"/>
          <w:szCs w:val="20"/>
          <w:lang w:eastAsia="fr-BE"/>
        </w:rPr>
        <w:t>;</w:t>
      </w:r>
    </w:p>
    <w:p w:rsidR="004A5847" w:rsidRDefault="004A5847" w:rsidP="004A5847">
      <w:pPr>
        <w:numPr>
          <w:ilvl w:val="0"/>
          <w:numId w:val="1"/>
        </w:numPr>
        <w:rPr>
          <w:rFonts w:ascii="Verdana" w:hAnsi="Verdana"/>
          <w:sz w:val="20"/>
          <w:szCs w:val="20"/>
          <w:lang w:eastAsia="fr-BE"/>
        </w:rPr>
      </w:pPr>
      <w:r w:rsidRPr="004A114E">
        <w:rPr>
          <w:rFonts w:ascii="Verdana" w:hAnsi="Verdana"/>
          <w:sz w:val="20"/>
          <w:szCs w:val="20"/>
          <w:lang w:eastAsia="fr-BE"/>
        </w:rPr>
        <w:t>les frais de raccordement ;</w:t>
      </w:r>
    </w:p>
    <w:p w:rsidR="004A5847" w:rsidRPr="004A114E" w:rsidRDefault="004A5847" w:rsidP="004A5847">
      <w:pPr>
        <w:numPr>
          <w:ilvl w:val="0"/>
          <w:numId w:val="1"/>
        </w:numPr>
        <w:rPr>
          <w:rFonts w:ascii="Verdana" w:hAnsi="Verdana"/>
          <w:sz w:val="20"/>
          <w:szCs w:val="20"/>
          <w:lang w:eastAsia="fr-BE"/>
        </w:rPr>
      </w:pPr>
      <w:r w:rsidRPr="004A114E">
        <w:rPr>
          <w:rFonts w:ascii="Verdana" w:hAnsi="Verdana"/>
          <w:sz w:val="20"/>
          <w:szCs w:val="20"/>
          <w:lang w:eastAsia="fr-BE"/>
        </w:rPr>
        <w:t>les frais de modification d'infrastructure.</w:t>
      </w:r>
    </w:p>
    <w:p w:rsidR="004A5847" w:rsidRDefault="004A5847" w:rsidP="004A5847">
      <w:pPr>
        <w:jc w:val="both"/>
        <w:rPr>
          <w:rFonts w:ascii="Verdana" w:hAnsi="Verdana"/>
          <w:b/>
          <w:sz w:val="20"/>
          <w:szCs w:val="20"/>
          <w:u w:val="single"/>
        </w:rPr>
      </w:pPr>
    </w:p>
    <w:p w:rsidR="004A5847" w:rsidRDefault="004A5847" w:rsidP="004A5847">
      <w:pPr>
        <w:pStyle w:val="Paragraphedeliste"/>
        <w:widowControl w:val="0"/>
        <w:numPr>
          <w:ilvl w:val="0"/>
          <w:numId w:val="5"/>
        </w:numPr>
        <w:suppressAutoHyphens/>
        <w:jc w:val="both"/>
        <w:rPr>
          <w:rFonts w:ascii="Verdana" w:hAnsi="Verdana"/>
          <w:b/>
          <w:sz w:val="20"/>
          <w:szCs w:val="20"/>
          <w:u w:val="single"/>
          <w:lang w:val="fr-BE"/>
        </w:rPr>
      </w:pPr>
      <w:r>
        <w:rPr>
          <w:rFonts w:ascii="Verdana" w:hAnsi="Verdana"/>
          <w:b/>
          <w:sz w:val="20"/>
          <w:szCs w:val="20"/>
          <w:u w:val="single"/>
        </w:rPr>
        <w:t>Pour les infrastructures au gaz naturel</w:t>
      </w:r>
    </w:p>
    <w:p w:rsidR="004A5847" w:rsidRPr="004A114E" w:rsidRDefault="004A5847" w:rsidP="004A5847">
      <w:pPr>
        <w:pStyle w:val="Paragraphedeliste"/>
        <w:ind w:left="0"/>
        <w:jc w:val="both"/>
        <w:rPr>
          <w:rFonts w:ascii="Verdana" w:hAnsi="Verdana" w:cs="Verdana"/>
          <w:sz w:val="20"/>
          <w:szCs w:val="20"/>
          <w:lang w:val="fr-BE"/>
        </w:rPr>
      </w:pPr>
    </w:p>
    <w:p w:rsidR="004A5847" w:rsidRDefault="004A5847" w:rsidP="004A5847">
      <w:pPr>
        <w:pStyle w:val="Paragraphedeliste"/>
        <w:ind w:left="0"/>
        <w:jc w:val="both"/>
        <w:rPr>
          <w:rFonts w:ascii="Verdana" w:hAnsi="Verdana" w:cs="Verdana"/>
          <w:sz w:val="20"/>
          <w:szCs w:val="20"/>
        </w:rPr>
      </w:pPr>
      <w:r>
        <w:rPr>
          <w:rFonts w:ascii="Verdana" w:hAnsi="Verdana" w:cs="Verdana"/>
          <w:sz w:val="20"/>
          <w:szCs w:val="20"/>
        </w:rPr>
        <w:t>Sont éligibles au financement :</w:t>
      </w:r>
    </w:p>
    <w:p w:rsidR="004A5847" w:rsidRPr="00405C45" w:rsidRDefault="004A5847" w:rsidP="004A5847">
      <w:pPr>
        <w:pStyle w:val="Paragraphedeliste"/>
        <w:ind w:left="0"/>
        <w:jc w:val="both"/>
        <w:rPr>
          <w:rFonts w:ascii="Verdana" w:hAnsi="Verdana" w:cs="Verdana"/>
          <w:sz w:val="20"/>
          <w:szCs w:val="20"/>
        </w:rPr>
      </w:pPr>
    </w:p>
    <w:p w:rsidR="004A5847" w:rsidRDefault="004A5847" w:rsidP="004A5847">
      <w:pPr>
        <w:pStyle w:val="Paragraphedeliste"/>
        <w:widowControl w:val="0"/>
        <w:numPr>
          <w:ilvl w:val="0"/>
          <w:numId w:val="2"/>
        </w:numPr>
        <w:suppressAutoHyphens/>
        <w:ind w:left="0" w:firstLine="0"/>
        <w:jc w:val="both"/>
        <w:rPr>
          <w:rFonts w:ascii="Verdana" w:hAnsi="Verdana" w:cs="Verdana"/>
          <w:sz w:val="20"/>
          <w:szCs w:val="20"/>
        </w:rPr>
      </w:pPr>
      <w:r>
        <w:rPr>
          <w:rFonts w:ascii="Verdana" w:hAnsi="Verdana" w:cs="Verdana"/>
          <w:sz w:val="20"/>
          <w:szCs w:val="20"/>
        </w:rPr>
        <w:t xml:space="preserve">les frais </w:t>
      </w:r>
      <w:r>
        <w:rPr>
          <w:rFonts w:ascii="Verdana" w:hAnsi="Verdana" w:cs="Verdana"/>
          <w:sz w:val="20"/>
          <w:szCs w:val="20"/>
          <w:lang w:val="fr-BE"/>
        </w:rPr>
        <w:t>liés à l’unité de distribution du GNC ou LNG</w:t>
      </w:r>
      <w:r>
        <w:rPr>
          <w:rFonts w:ascii="Verdana" w:hAnsi="Verdana" w:cs="Verdana"/>
          <w:sz w:val="20"/>
          <w:szCs w:val="20"/>
        </w:rPr>
        <w:t> ;</w:t>
      </w:r>
    </w:p>
    <w:p w:rsidR="004A5847" w:rsidRPr="004A114E" w:rsidRDefault="004A5847" w:rsidP="004A5847">
      <w:pPr>
        <w:pStyle w:val="Paragraphedeliste"/>
        <w:widowControl w:val="0"/>
        <w:numPr>
          <w:ilvl w:val="0"/>
          <w:numId w:val="2"/>
        </w:numPr>
        <w:suppressAutoHyphens/>
        <w:ind w:left="709" w:hanging="709"/>
        <w:jc w:val="both"/>
        <w:rPr>
          <w:rFonts w:ascii="Verdana" w:hAnsi="Verdana" w:cs="Verdana"/>
          <w:sz w:val="20"/>
          <w:szCs w:val="20"/>
        </w:rPr>
      </w:pPr>
      <w:r>
        <w:rPr>
          <w:rFonts w:ascii="Verdana" w:hAnsi="Verdana" w:cs="Verdana"/>
          <w:sz w:val="20"/>
          <w:szCs w:val="20"/>
          <w:lang w:val="fr-BE"/>
        </w:rPr>
        <w:t>Pour le GNC, le compresseur ;</w:t>
      </w:r>
    </w:p>
    <w:p w:rsidR="004A5847" w:rsidRPr="004A114E" w:rsidRDefault="004A5847" w:rsidP="004A5847">
      <w:pPr>
        <w:pStyle w:val="Paragraphedeliste"/>
        <w:widowControl w:val="0"/>
        <w:numPr>
          <w:ilvl w:val="0"/>
          <w:numId w:val="2"/>
        </w:numPr>
        <w:suppressAutoHyphens/>
        <w:ind w:left="709" w:hanging="709"/>
        <w:jc w:val="both"/>
        <w:rPr>
          <w:rFonts w:ascii="Verdana" w:hAnsi="Verdana" w:cs="Verdana"/>
          <w:sz w:val="20"/>
          <w:szCs w:val="20"/>
        </w:rPr>
      </w:pPr>
      <w:r>
        <w:rPr>
          <w:rFonts w:ascii="Verdana" w:hAnsi="Verdana" w:cs="Verdana"/>
          <w:sz w:val="20"/>
          <w:szCs w:val="20"/>
          <w:lang w:val="fr-BE"/>
        </w:rPr>
        <w:t>Pour le GNC, les infrastructures de stockage du GNC</w:t>
      </w:r>
      <w:r>
        <w:rPr>
          <w:rFonts w:ascii="Verdana" w:hAnsi="Verdana" w:cs="Verdana"/>
          <w:sz w:val="20"/>
          <w:szCs w:val="20"/>
        </w:rPr>
        <w:t> ;</w:t>
      </w:r>
    </w:p>
    <w:p w:rsidR="004A5847" w:rsidRPr="004A114E" w:rsidRDefault="004A5847" w:rsidP="004A5847">
      <w:pPr>
        <w:pStyle w:val="Paragraphedeliste"/>
        <w:widowControl w:val="0"/>
        <w:numPr>
          <w:ilvl w:val="0"/>
          <w:numId w:val="2"/>
        </w:numPr>
        <w:suppressAutoHyphens/>
        <w:ind w:left="709" w:hanging="709"/>
        <w:jc w:val="both"/>
        <w:rPr>
          <w:rFonts w:ascii="Verdana" w:hAnsi="Verdana" w:cs="Verdana"/>
          <w:sz w:val="20"/>
          <w:szCs w:val="20"/>
        </w:rPr>
      </w:pPr>
      <w:r>
        <w:rPr>
          <w:rFonts w:ascii="Verdana" w:hAnsi="Verdana" w:cs="Verdana"/>
          <w:sz w:val="20"/>
          <w:szCs w:val="20"/>
          <w:lang w:val="fr-BE"/>
        </w:rPr>
        <w:t xml:space="preserve">Pour le GNC, les frais de raccordement </w:t>
      </w:r>
    </w:p>
    <w:p w:rsidR="004A5847" w:rsidRPr="000F10CC" w:rsidRDefault="004A5847" w:rsidP="004A5847">
      <w:pPr>
        <w:pStyle w:val="Paragraphedeliste"/>
        <w:widowControl w:val="0"/>
        <w:numPr>
          <w:ilvl w:val="0"/>
          <w:numId w:val="2"/>
        </w:numPr>
        <w:suppressAutoHyphens/>
        <w:ind w:left="0" w:firstLine="0"/>
        <w:jc w:val="both"/>
        <w:rPr>
          <w:rFonts w:ascii="Verdana" w:hAnsi="Verdana" w:cs="Verdana"/>
          <w:sz w:val="20"/>
          <w:szCs w:val="20"/>
        </w:rPr>
      </w:pPr>
      <w:r>
        <w:rPr>
          <w:rFonts w:ascii="Verdana" w:hAnsi="Verdana" w:cs="Verdana"/>
          <w:sz w:val="20"/>
          <w:szCs w:val="20"/>
          <w:lang w:val="fr-BE"/>
        </w:rPr>
        <w:t>Pour le GNL, les réservoirs et tout dispositif de maintien du gaz liquide ;</w:t>
      </w:r>
    </w:p>
    <w:p w:rsidR="004A5847" w:rsidRPr="004A114E" w:rsidRDefault="004A5847" w:rsidP="004A5847">
      <w:pPr>
        <w:pStyle w:val="Paragraphedeliste"/>
        <w:widowControl w:val="0"/>
        <w:numPr>
          <w:ilvl w:val="0"/>
          <w:numId w:val="2"/>
        </w:numPr>
        <w:suppressAutoHyphens/>
        <w:ind w:left="0" w:firstLine="0"/>
        <w:jc w:val="both"/>
        <w:rPr>
          <w:rFonts w:ascii="Verdana" w:hAnsi="Verdana" w:cs="Verdana"/>
          <w:sz w:val="20"/>
          <w:szCs w:val="20"/>
        </w:rPr>
      </w:pPr>
      <w:r>
        <w:rPr>
          <w:rFonts w:ascii="Verdana" w:hAnsi="Verdana" w:cs="Verdana"/>
          <w:sz w:val="20"/>
          <w:szCs w:val="20"/>
          <w:lang w:val="fr-BE"/>
        </w:rPr>
        <w:t>Pour le GNL, les chambres de détente et compresseur.</w:t>
      </w:r>
    </w:p>
    <w:p w:rsidR="004A5847" w:rsidRDefault="004A5847" w:rsidP="004A5847">
      <w:pPr>
        <w:pStyle w:val="Paragraphedeliste"/>
        <w:ind w:left="0"/>
        <w:jc w:val="both"/>
        <w:rPr>
          <w:rFonts w:ascii="Verdana" w:hAnsi="Verdana" w:cs="Verdana"/>
          <w:sz w:val="20"/>
          <w:szCs w:val="20"/>
          <w:lang w:val="fr-BE"/>
        </w:rPr>
      </w:pPr>
    </w:p>
    <w:p w:rsidR="004A5847" w:rsidRPr="004A114E" w:rsidRDefault="004A5847" w:rsidP="004A5847">
      <w:pPr>
        <w:pStyle w:val="Paragraphedeliste"/>
        <w:ind w:left="0"/>
        <w:jc w:val="both"/>
        <w:rPr>
          <w:rFonts w:ascii="Verdana" w:hAnsi="Verdana" w:cs="Verdana"/>
          <w:sz w:val="20"/>
          <w:szCs w:val="20"/>
        </w:rPr>
      </w:pPr>
      <w:r>
        <w:rPr>
          <w:rFonts w:ascii="Verdana" w:hAnsi="Verdana" w:cs="Verdana"/>
          <w:sz w:val="20"/>
          <w:szCs w:val="20"/>
          <w:lang w:val="fr-BE"/>
        </w:rPr>
        <w:t xml:space="preserve">Les frais de </w:t>
      </w:r>
      <w:proofErr w:type="spellStart"/>
      <w:r>
        <w:rPr>
          <w:rFonts w:ascii="Verdana" w:hAnsi="Verdana" w:cs="Verdana"/>
          <w:sz w:val="20"/>
          <w:szCs w:val="20"/>
          <w:lang w:val="fr-BE"/>
        </w:rPr>
        <w:t>biométhaniseur</w:t>
      </w:r>
      <w:proofErr w:type="spellEnd"/>
      <w:r>
        <w:rPr>
          <w:rFonts w:ascii="Verdana" w:hAnsi="Verdana" w:cs="Verdana"/>
          <w:sz w:val="20"/>
          <w:szCs w:val="20"/>
          <w:lang w:val="fr-BE"/>
        </w:rPr>
        <w:t xml:space="preserve"> ne sont pas pris en compte. Les coûts liés à la purification nécessaire du biogaz peuvent être pris en compte. </w:t>
      </w:r>
    </w:p>
    <w:p w:rsidR="004A5847" w:rsidRDefault="004A5847" w:rsidP="004A5847">
      <w:pPr>
        <w:pStyle w:val="Paragraphedeliste"/>
        <w:ind w:left="0"/>
        <w:jc w:val="both"/>
        <w:rPr>
          <w:rFonts w:ascii="Verdana" w:hAnsi="Verdana" w:cs="Verdana"/>
          <w:sz w:val="20"/>
          <w:szCs w:val="20"/>
          <w:lang w:val="fr-BE"/>
        </w:rPr>
      </w:pPr>
    </w:p>
    <w:p w:rsidR="004A5847" w:rsidRPr="005917C1" w:rsidRDefault="004A5847" w:rsidP="004A5847">
      <w:pPr>
        <w:widowControl w:val="0"/>
        <w:numPr>
          <w:ilvl w:val="0"/>
          <w:numId w:val="5"/>
        </w:numPr>
        <w:suppressAutoHyphens/>
        <w:jc w:val="both"/>
        <w:rPr>
          <w:rFonts w:ascii="Verdana" w:hAnsi="Verdana"/>
          <w:b/>
          <w:sz w:val="20"/>
          <w:szCs w:val="20"/>
          <w:u w:val="single"/>
        </w:rPr>
      </w:pPr>
      <w:r>
        <w:rPr>
          <w:rFonts w:ascii="Verdana" w:hAnsi="Verdana"/>
          <w:b/>
          <w:sz w:val="20"/>
          <w:szCs w:val="20"/>
          <w:u w:val="single"/>
        </w:rPr>
        <w:t>Pour les infrastructures à l’hydrogène</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 xml:space="preserve">Sont éligibles, </w:t>
      </w:r>
      <w:r w:rsidRPr="00713A32">
        <w:rPr>
          <w:rFonts w:ascii="Verdana" w:hAnsi="Verdana"/>
          <w:sz w:val="20"/>
          <w:szCs w:val="20"/>
        </w:rPr>
        <w:t>l’acquisition</w:t>
      </w:r>
      <w:r>
        <w:rPr>
          <w:rFonts w:ascii="Verdana" w:hAnsi="Verdana"/>
          <w:sz w:val="20"/>
          <w:szCs w:val="20"/>
        </w:rPr>
        <w:t xml:space="preserve"> et</w:t>
      </w:r>
      <w:r w:rsidRPr="00713A32">
        <w:rPr>
          <w:rFonts w:ascii="Verdana" w:hAnsi="Verdana"/>
          <w:sz w:val="20"/>
          <w:szCs w:val="20"/>
        </w:rPr>
        <w:t xml:space="preserve"> le placement des infrastructures en ce compris </w:t>
      </w:r>
      <w:r>
        <w:rPr>
          <w:rFonts w:ascii="Verdana" w:hAnsi="Verdana"/>
          <w:sz w:val="20"/>
          <w:szCs w:val="20"/>
        </w:rPr>
        <w:t xml:space="preserve">les aires de stockage d’hydrogène et les chambres de détente nécessaires. Les frais liés à la mise en œuvre d’une unité d’électrolyse peuvent également être pris en compte. </w:t>
      </w:r>
    </w:p>
    <w:p w:rsidR="004A5847" w:rsidRPr="004A114E" w:rsidRDefault="004A5847" w:rsidP="004A5847">
      <w:pPr>
        <w:pStyle w:val="Paragraphedeliste"/>
        <w:ind w:left="0"/>
        <w:jc w:val="both"/>
        <w:rPr>
          <w:rFonts w:ascii="Verdana" w:hAnsi="Verdana" w:cs="Verdana"/>
          <w:sz w:val="20"/>
          <w:szCs w:val="20"/>
        </w:rPr>
      </w:pPr>
    </w:p>
    <w:p w:rsidR="004A5847" w:rsidRDefault="004A5847" w:rsidP="004A5847">
      <w:pPr>
        <w:pStyle w:val="Paragraphedeliste"/>
        <w:ind w:left="0"/>
        <w:jc w:val="both"/>
        <w:rPr>
          <w:rFonts w:ascii="Verdana" w:hAnsi="Verdana" w:cs="Verdana"/>
          <w:sz w:val="20"/>
          <w:szCs w:val="20"/>
          <w:lang w:val="fr-BE"/>
        </w:rPr>
      </w:pPr>
      <w:r>
        <w:rPr>
          <w:rFonts w:ascii="Verdana" w:hAnsi="Verdana" w:cs="Verdana"/>
          <w:sz w:val="20"/>
          <w:szCs w:val="20"/>
          <w:lang w:val="fr-BE"/>
        </w:rPr>
        <w:t>Ces divers frais seront prouvés sur base de pièces justifiant la fourniture des infrastructures et des prestations liées à leur placement.</w:t>
      </w:r>
    </w:p>
    <w:p w:rsidR="004A5847" w:rsidRDefault="004A5847" w:rsidP="004A5847">
      <w:pPr>
        <w:pStyle w:val="Paragraphedeliste"/>
        <w:ind w:left="0"/>
        <w:jc w:val="both"/>
        <w:rPr>
          <w:rFonts w:ascii="Verdana" w:hAnsi="Verdana" w:cs="Verdana"/>
          <w:sz w:val="20"/>
          <w:szCs w:val="20"/>
        </w:rPr>
      </w:pPr>
    </w:p>
    <w:p w:rsidR="004A5847" w:rsidRPr="00CA2A89" w:rsidRDefault="004A5847" w:rsidP="004A5847">
      <w:pPr>
        <w:jc w:val="both"/>
        <w:rPr>
          <w:rFonts w:ascii="Verdana" w:hAnsi="Verdana"/>
          <w:b/>
          <w:sz w:val="20"/>
          <w:szCs w:val="20"/>
          <w:u w:val="single"/>
        </w:rPr>
      </w:pPr>
      <w:r>
        <w:rPr>
          <w:rFonts w:ascii="Verdana" w:hAnsi="Verdana"/>
          <w:b/>
          <w:sz w:val="20"/>
          <w:szCs w:val="20"/>
          <w:u w:val="single"/>
        </w:rPr>
        <w:t>Divers</w:t>
      </w:r>
    </w:p>
    <w:p w:rsidR="004A5847" w:rsidRDefault="004A5847" w:rsidP="004A5847">
      <w:pPr>
        <w:jc w:val="both"/>
        <w:rPr>
          <w:rFonts w:ascii="Calibri" w:hAnsi="Calibri"/>
          <w:sz w:val="20"/>
          <w:szCs w:val="20"/>
        </w:rPr>
      </w:pPr>
    </w:p>
    <w:p w:rsidR="004A5847" w:rsidRDefault="004A5847" w:rsidP="004A5847">
      <w:pPr>
        <w:pStyle w:val="Paragraphedeliste"/>
        <w:spacing w:after="200" w:line="276" w:lineRule="auto"/>
        <w:ind w:left="0"/>
        <w:contextualSpacing/>
        <w:jc w:val="both"/>
        <w:rPr>
          <w:rFonts w:ascii="Verdana" w:hAnsi="Verdana"/>
          <w:sz w:val="20"/>
          <w:szCs w:val="20"/>
        </w:rPr>
      </w:pPr>
      <w:r>
        <w:rPr>
          <w:rFonts w:ascii="Verdana" w:hAnsi="Verdana"/>
          <w:sz w:val="20"/>
          <w:szCs w:val="20"/>
        </w:rPr>
        <w:t xml:space="preserve">Les villes et communes </w:t>
      </w:r>
      <w:r w:rsidRPr="00FB0AD1">
        <w:rPr>
          <w:rFonts w:ascii="Verdana" w:hAnsi="Verdana"/>
          <w:sz w:val="20"/>
          <w:szCs w:val="20"/>
        </w:rPr>
        <w:t xml:space="preserve">de la zone géographique </w:t>
      </w:r>
      <w:r>
        <w:rPr>
          <w:rFonts w:ascii="Verdana" w:hAnsi="Verdana"/>
          <w:sz w:val="20"/>
          <w:szCs w:val="20"/>
        </w:rPr>
        <w:t>sélectionnée seront obligatoirement consultées dans le processus de déploiement.</w:t>
      </w:r>
      <w:r w:rsidRPr="00FB0AD1">
        <w:rPr>
          <w:rFonts w:ascii="Verdana" w:hAnsi="Verdana"/>
          <w:sz w:val="20"/>
          <w:szCs w:val="20"/>
        </w:rPr>
        <w:t xml:space="preserve"> </w:t>
      </w:r>
      <w:r>
        <w:rPr>
          <w:rFonts w:ascii="Verdana" w:hAnsi="Verdana"/>
          <w:sz w:val="20"/>
          <w:szCs w:val="20"/>
        </w:rPr>
        <w:t>L’intégration du déploiement des infrastructures</w:t>
      </w:r>
      <w:r w:rsidRPr="00FB0AD1">
        <w:rPr>
          <w:rFonts w:ascii="Verdana" w:hAnsi="Verdana"/>
          <w:sz w:val="20"/>
          <w:szCs w:val="20"/>
        </w:rPr>
        <w:t xml:space="preserve"> dans le cadre d’une initiative POLLEC </w:t>
      </w:r>
      <w:r>
        <w:rPr>
          <w:rFonts w:ascii="Verdana" w:hAnsi="Verdana"/>
          <w:sz w:val="20"/>
          <w:szCs w:val="20"/>
          <w:lang w:val="fr-BE"/>
        </w:rPr>
        <w:t>sera également</w:t>
      </w:r>
      <w:r>
        <w:rPr>
          <w:rFonts w:ascii="Verdana" w:hAnsi="Verdana"/>
          <w:sz w:val="20"/>
          <w:szCs w:val="20"/>
        </w:rPr>
        <w:t xml:space="preserve"> </w:t>
      </w:r>
      <w:proofErr w:type="spellStart"/>
      <w:r>
        <w:rPr>
          <w:rFonts w:ascii="Verdana" w:hAnsi="Verdana"/>
          <w:sz w:val="20"/>
          <w:szCs w:val="20"/>
        </w:rPr>
        <w:t>privilégi</w:t>
      </w:r>
      <w:r>
        <w:rPr>
          <w:rFonts w:ascii="Verdana" w:hAnsi="Verdana"/>
          <w:sz w:val="20"/>
          <w:szCs w:val="20"/>
          <w:lang w:val="fr-BE"/>
        </w:rPr>
        <w:t>ée</w:t>
      </w:r>
      <w:proofErr w:type="spellEnd"/>
      <w:r w:rsidRPr="00FB0AD1">
        <w:rPr>
          <w:rFonts w:ascii="Verdana" w:hAnsi="Verdana"/>
          <w:sz w:val="20"/>
          <w:szCs w:val="20"/>
        </w:rPr>
        <w:t xml:space="preserve">. </w:t>
      </w:r>
    </w:p>
    <w:p w:rsidR="004A5847" w:rsidRDefault="004A5847" w:rsidP="004A5847">
      <w:pPr>
        <w:pStyle w:val="Paragraphedeliste"/>
        <w:spacing w:after="200" w:line="276" w:lineRule="auto"/>
        <w:ind w:left="0"/>
        <w:contextualSpacing/>
        <w:jc w:val="both"/>
        <w:rPr>
          <w:rFonts w:ascii="Verdana" w:hAnsi="Verdana"/>
          <w:sz w:val="20"/>
          <w:szCs w:val="20"/>
        </w:rPr>
      </w:pPr>
    </w:p>
    <w:p w:rsidR="004A5847" w:rsidRDefault="004A5847" w:rsidP="004A5847">
      <w:pPr>
        <w:pStyle w:val="Paragraphedeliste"/>
        <w:spacing w:after="200" w:line="276" w:lineRule="auto"/>
        <w:ind w:left="0"/>
        <w:contextualSpacing/>
        <w:jc w:val="both"/>
        <w:rPr>
          <w:rFonts w:ascii="Verdana" w:hAnsi="Verdana"/>
          <w:sz w:val="20"/>
          <w:szCs w:val="20"/>
          <w:lang w:val="fr-BE"/>
        </w:rPr>
      </w:pPr>
      <w:r>
        <w:rPr>
          <w:rFonts w:ascii="Verdana" w:hAnsi="Verdana"/>
          <w:sz w:val="20"/>
          <w:szCs w:val="20"/>
        </w:rPr>
        <w:lastRenderedPageBreak/>
        <w:t>En ce qui concerne l’infrastructure, le porteur de projet aura l’</w:t>
      </w:r>
      <w:r w:rsidRPr="002D54E2">
        <w:rPr>
          <w:rFonts w:ascii="Verdana" w:hAnsi="Verdana"/>
          <w:sz w:val="20"/>
          <w:szCs w:val="20"/>
        </w:rPr>
        <w:t>obligation de travailler en association avec le(s) GRD(s) de la zone</w:t>
      </w:r>
      <w:r>
        <w:rPr>
          <w:rFonts w:ascii="Verdana" w:hAnsi="Verdana"/>
          <w:sz w:val="20"/>
          <w:szCs w:val="20"/>
        </w:rPr>
        <w:t>.</w:t>
      </w:r>
    </w:p>
    <w:p w:rsidR="004A5847" w:rsidRDefault="004A5847" w:rsidP="004A5847">
      <w:pPr>
        <w:jc w:val="both"/>
        <w:rPr>
          <w:rFonts w:ascii="Verdana" w:hAnsi="Verdana"/>
          <w:b/>
          <w:sz w:val="20"/>
          <w:szCs w:val="20"/>
          <w:u w:val="single"/>
        </w:rPr>
      </w:pPr>
      <w:r>
        <w:rPr>
          <w:rFonts w:ascii="Verdana" w:hAnsi="Verdana"/>
          <w:b/>
          <w:sz w:val="20"/>
          <w:szCs w:val="20"/>
          <w:u w:val="single"/>
        </w:rPr>
        <w:t>Procédure de dépôt des offres</w:t>
      </w:r>
    </w:p>
    <w:p w:rsidR="004A5847" w:rsidRDefault="004A5847" w:rsidP="004A5847">
      <w:pPr>
        <w:ind w:left="720"/>
        <w:jc w:val="both"/>
        <w:rPr>
          <w:rFonts w:ascii="Verdana" w:hAnsi="Verdana"/>
          <w:b/>
          <w:sz w:val="20"/>
          <w:szCs w:val="20"/>
          <w:u w:val="single"/>
        </w:rPr>
      </w:pPr>
    </w:p>
    <w:p w:rsidR="004A5847" w:rsidRDefault="004A5847" w:rsidP="004A5847">
      <w:pPr>
        <w:autoSpaceDE w:val="0"/>
        <w:autoSpaceDN w:val="0"/>
        <w:adjustRightInd w:val="0"/>
        <w:spacing w:after="120" w:line="276" w:lineRule="auto"/>
        <w:jc w:val="both"/>
        <w:rPr>
          <w:rFonts w:ascii="Verdana" w:hAnsi="Verdana"/>
          <w:sz w:val="20"/>
          <w:szCs w:val="20"/>
        </w:rPr>
      </w:pPr>
      <w:r>
        <w:rPr>
          <w:rFonts w:ascii="Verdana" w:hAnsi="Verdana"/>
          <w:sz w:val="20"/>
          <w:szCs w:val="20"/>
        </w:rPr>
        <w:t>Les offres seront remises en deux phases :</w:t>
      </w:r>
    </w:p>
    <w:p w:rsidR="004A5847" w:rsidRDefault="004A5847" w:rsidP="004A5847">
      <w:pPr>
        <w:widowControl w:val="0"/>
        <w:numPr>
          <w:ilvl w:val="0"/>
          <w:numId w:val="3"/>
        </w:numPr>
        <w:suppressAutoHyphens/>
        <w:autoSpaceDE w:val="0"/>
        <w:autoSpaceDN w:val="0"/>
        <w:adjustRightInd w:val="0"/>
        <w:spacing w:after="120" w:line="276" w:lineRule="auto"/>
        <w:jc w:val="both"/>
        <w:rPr>
          <w:rFonts w:ascii="Verdana" w:hAnsi="Verdana"/>
          <w:sz w:val="20"/>
          <w:szCs w:val="20"/>
        </w:rPr>
      </w:pPr>
      <w:r>
        <w:rPr>
          <w:rFonts w:ascii="Verdana" w:hAnsi="Verdana"/>
          <w:sz w:val="20"/>
          <w:szCs w:val="20"/>
        </w:rPr>
        <w:t>Pour la première étape, les soumissionnaires présenteront l’objectif souhaité de leur projet, les données administratives de la société, le budget indicatif, l’état d’avancement des négociations pour le développement de leur projet, le modèle économique envisagé et tout élément susceptible de pouvoir être présenté.</w:t>
      </w:r>
    </w:p>
    <w:p w:rsidR="004A5847" w:rsidRPr="0095407E" w:rsidRDefault="004A5847" w:rsidP="004A5847">
      <w:pPr>
        <w:autoSpaceDE w:val="0"/>
        <w:autoSpaceDN w:val="0"/>
        <w:adjustRightInd w:val="0"/>
        <w:spacing w:after="120" w:line="276" w:lineRule="auto"/>
        <w:ind w:left="709"/>
        <w:jc w:val="both"/>
        <w:rPr>
          <w:rFonts w:ascii="Verdana" w:hAnsi="Verdana"/>
          <w:sz w:val="20"/>
          <w:szCs w:val="20"/>
        </w:rPr>
      </w:pPr>
      <w:r>
        <w:rPr>
          <w:rFonts w:ascii="Verdana" w:hAnsi="Verdana"/>
          <w:sz w:val="20"/>
          <w:szCs w:val="20"/>
        </w:rPr>
        <w:t xml:space="preserve">La date de dépôt de la phase 1 est fixée </w:t>
      </w:r>
      <w:r w:rsidRPr="0095407E">
        <w:rPr>
          <w:rFonts w:ascii="Verdana" w:hAnsi="Verdana"/>
          <w:sz w:val="20"/>
          <w:szCs w:val="20"/>
        </w:rPr>
        <w:t xml:space="preserve">au </w:t>
      </w:r>
      <w:r>
        <w:rPr>
          <w:rFonts w:ascii="Verdana" w:hAnsi="Verdana"/>
          <w:b/>
          <w:sz w:val="20"/>
          <w:szCs w:val="20"/>
        </w:rPr>
        <w:t>15 avril</w:t>
      </w:r>
      <w:r w:rsidRPr="0095407E">
        <w:rPr>
          <w:rFonts w:ascii="Verdana" w:hAnsi="Verdana"/>
          <w:b/>
          <w:sz w:val="20"/>
          <w:szCs w:val="20"/>
        </w:rPr>
        <w:t xml:space="preserve"> 2019</w:t>
      </w:r>
      <w:r w:rsidRPr="0095407E">
        <w:rPr>
          <w:rFonts w:ascii="Verdana" w:hAnsi="Verdana"/>
          <w:sz w:val="20"/>
          <w:szCs w:val="20"/>
        </w:rPr>
        <w:t>.</w:t>
      </w:r>
    </w:p>
    <w:p w:rsidR="004A5847" w:rsidRPr="0095407E" w:rsidRDefault="004A5847" w:rsidP="004A5847">
      <w:pPr>
        <w:widowControl w:val="0"/>
        <w:numPr>
          <w:ilvl w:val="0"/>
          <w:numId w:val="3"/>
        </w:numPr>
        <w:suppressAutoHyphens/>
        <w:autoSpaceDE w:val="0"/>
        <w:autoSpaceDN w:val="0"/>
        <w:adjustRightInd w:val="0"/>
        <w:spacing w:after="120" w:line="276" w:lineRule="auto"/>
        <w:jc w:val="both"/>
        <w:rPr>
          <w:rFonts w:ascii="Verdana" w:hAnsi="Verdana"/>
          <w:sz w:val="20"/>
          <w:szCs w:val="20"/>
        </w:rPr>
      </w:pPr>
      <w:r w:rsidRPr="0095407E">
        <w:rPr>
          <w:rFonts w:ascii="Verdana" w:hAnsi="Verdana"/>
          <w:sz w:val="20"/>
          <w:szCs w:val="20"/>
        </w:rPr>
        <w:t>Pour la seconde étape, les soumissionnaires apporteront des précisions sur leur stratégie de déploiement, le budget définitif, les plans et implantations éventuelles, le modèle économique retenu, le plan de remboursement et tout élément susceptible de pouvoir être présenté.</w:t>
      </w:r>
    </w:p>
    <w:p w:rsidR="004A5847" w:rsidRDefault="004A5847" w:rsidP="004A5847">
      <w:pPr>
        <w:autoSpaceDE w:val="0"/>
        <w:autoSpaceDN w:val="0"/>
        <w:adjustRightInd w:val="0"/>
        <w:spacing w:after="120" w:line="276" w:lineRule="auto"/>
        <w:ind w:left="720"/>
        <w:jc w:val="both"/>
        <w:rPr>
          <w:rFonts w:ascii="Verdana" w:hAnsi="Verdana"/>
          <w:sz w:val="20"/>
          <w:szCs w:val="20"/>
        </w:rPr>
      </w:pPr>
      <w:r w:rsidRPr="0095407E">
        <w:rPr>
          <w:rFonts w:ascii="Verdana" w:hAnsi="Verdana"/>
          <w:sz w:val="20"/>
          <w:szCs w:val="20"/>
        </w:rPr>
        <w:t xml:space="preserve">La date de dépôt de la phase 2 est fixée au </w:t>
      </w:r>
      <w:r>
        <w:rPr>
          <w:rFonts w:ascii="Verdana" w:hAnsi="Verdana"/>
          <w:b/>
          <w:sz w:val="20"/>
          <w:szCs w:val="20"/>
        </w:rPr>
        <w:t>01 juin</w:t>
      </w:r>
      <w:r w:rsidRPr="0095407E">
        <w:rPr>
          <w:rFonts w:ascii="Verdana" w:hAnsi="Verdana"/>
          <w:b/>
          <w:sz w:val="20"/>
          <w:szCs w:val="20"/>
        </w:rPr>
        <w:t xml:space="preserve"> 2019</w:t>
      </w:r>
      <w:r w:rsidRPr="0095407E">
        <w:rPr>
          <w:rFonts w:ascii="Verdana" w:hAnsi="Verdana"/>
          <w:sz w:val="20"/>
          <w:szCs w:val="20"/>
        </w:rPr>
        <w:t>.</w:t>
      </w:r>
    </w:p>
    <w:p w:rsidR="004A5847" w:rsidRDefault="004A5847" w:rsidP="004A5847">
      <w:pPr>
        <w:autoSpaceDE w:val="0"/>
        <w:autoSpaceDN w:val="0"/>
        <w:adjustRightInd w:val="0"/>
        <w:spacing w:after="120" w:line="276" w:lineRule="auto"/>
        <w:jc w:val="both"/>
        <w:rPr>
          <w:rFonts w:ascii="Verdana" w:hAnsi="Verdana"/>
          <w:sz w:val="20"/>
          <w:szCs w:val="20"/>
        </w:rPr>
      </w:pPr>
      <w:r>
        <w:rPr>
          <w:rFonts w:ascii="Verdana" w:hAnsi="Verdana"/>
          <w:sz w:val="20"/>
          <w:szCs w:val="20"/>
        </w:rPr>
        <w:t xml:space="preserve">Les projets seront déposés à l’aide du formulaire joint à l’appel. </w:t>
      </w:r>
    </w:p>
    <w:p w:rsidR="004A5847" w:rsidRDefault="004A5847" w:rsidP="004A5847">
      <w:pPr>
        <w:autoSpaceDE w:val="0"/>
        <w:autoSpaceDN w:val="0"/>
        <w:adjustRightInd w:val="0"/>
        <w:spacing w:after="120" w:line="276" w:lineRule="auto"/>
        <w:jc w:val="both"/>
        <w:rPr>
          <w:rFonts w:ascii="Verdana" w:hAnsi="Verdana"/>
          <w:sz w:val="20"/>
          <w:szCs w:val="20"/>
        </w:rPr>
      </w:pPr>
      <w:r>
        <w:rPr>
          <w:rFonts w:ascii="Verdana" w:hAnsi="Verdana"/>
          <w:sz w:val="20"/>
          <w:szCs w:val="20"/>
        </w:rPr>
        <w:t xml:space="preserve">Dans les 10 jours calendrier qui suivent la date de dépôt de la phase 1, l’Administration signifie aux soumissionnaires l’invitation ou non à remettre offre à la phase 2. </w:t>
      </w:r>
    </w:p>
    <w:p w:rsidR="004A5847" w:rsidRPr="005753D8" w:rsidRDefault="004A5847" w:rsidP="004A5847">
      <w:pPr>
        <w:autoSpaceDE w:val="0"/>
        <w:autoSpaceDN w:val="0"/>
        <w:adjustRightInd w:val="0"/>
        <w:spacing w:after="120" w:line="276" w:lineRule="auto"/>
        <w:jc w:val="both"/>
        <w:rPr>
          <w:rFonts w:ascii="Verdana" w:hAnsi="Verdana"/>
          <w:b/>
          <w:sz w:val="20"/>
          <w:szCs w:val="20"/>
        </w:rPr>
      </w:pPr>
      <w:r w:rsidRPr="005753D8">
        <w:rPr>
          <w:rFonts w:ascii="Verdana" w:hAnsi="Verdana"/>
          <w:b/>
          <w:sz w:val="20"/>
          <w:szCs w:val="20"/>
        </w:rPr>
        <w:t>Aucun soumissionnaire ne sera directement admis à la phase 2 sans avoir remis offre à la phase 1.</w:t>
      </w:r>
    </w:p>
    <w:p w:rsidR="004A5847" w:rsidRDefault="004A5847" w:rsidP="004A5847">
      <w:pPr>
        <w:jc w:val="both"/>
        <w:rPr>
          <w:rFonts w:ascii="Verdana" w:hAnsi="Verdana"/>
          <w:b/>
          <w:sz w:val="20"/>
          <w:szCs w:val="20"/>
          <w:u w:val="single"/>
        </w:rPr>
      </w:pPr>
      <w:r>
        <w:rPr>
          <w:rFonts w:ascii="Verdana" w:hAnsi="Verdana"/>
          <w:b/>
          <w:sz w:val="20"/>
          <w:szCs w:val="20"/>
          <w:u w:val="single"/>
        </w:rPr>
        <w:t>Documents requis au dépôt définitif des offres</w:t>
      </w:r>
    </w:p>
    <w:p w:rsidR="004A5847" w:rsidRDefault="004A5847" w:rsidP="004A5847">
      <w:pPr>
        <w:jc w:val="both"/>
        <w:rPr>
          <w:rFonts w:ascii="Verdana" w:hAnsi="Verdana"/>
          <w:b/>
          <w:sz w:val="20"/>
          <w:szCs w:val="20"/>
          <w:u w:val="single"/>
        </w:rPr>
      </w:pPr>
    </w:p>
    <w:p w:rsidR="004A5847" w:rsidRDefault="004A5847" w:rsidP="004A5847">
      <w:pPr>
        <w:jc w:val="both"/>
        <w:rPr>
          <w:rFonts w:ascii="Verdana" w:hAnsi="Verdana"/>
          <w:sz w:val="20"/>
          <w:szCs w:val="20"/>
        </w:rPr>
      </w:pPr>
      <w:r w:rsidRPr="005753D8">
        <w:rPr>
          <w:rFonts w:ascii="Verdana" w:hAnsi="Verdana"/>
          <w:b/>
          <w:sz w:val="20"/>
          <w:szCs w:val="20"/>
        </w:rPr>
        <w:t>A pein</w:t>
      </w:r>
      <w:r>
        <w:rPr>
          <w:rFonts w:ascii="Verdana" w:hAnsi="Verdana"/>
          <w:b/>
          <w:sz w:val="20"/>
          <w:szCs w:val="20"/>
        </w:rPr>
        <w:t>e de nullité absolue de l’offre</w:t>
      </w:r>
      <w:r>
        <w:rPr>
          <w:rFonts w:ascii="Verdana" w:hAnsi="Verdana"/>
          <w:sz w:val="20"/>
          <w:szCs w:val="20"/>
        </w:rPr>
        <w:t>, les soumissionnaires devront remettre, joints au formulaire définitif, les documents suivants :</w:t>
      </w:r>
    </w:p>
    <w:p w:rsidR="004A5847" w:rsidRDefault="004A5847" w:rsidP="004A5847">
      <w:pPr>
        <w:jc w:val="both"/>
        <w:rPr>
          <w:rFonts w:ascii="Verdana" w:hAnsi="Verdana"/>
          <w:sz w:val="20"/>
          <w:szCs w:val="20"/>
        </w:rPr>
      </w:pPr>
    </w:p>
    <w:p w:rsidR="004A5847" w:rsidRDefault="004A5847" w:rsidP="004A5847">
      <w:pPr>
        <w:numPr>
          <w:ilvl w:val="0"/>
          <w:numId w:val="1"/>
        </w:numPr>
        <w:jc w:val="both"/>
        <w:rPr>
          <w:rFonts w:ascii="Verdana" w:hAnsi="Verdana"/>
          <w:sz w:val="20"/>
          <w:szCs w:val="20"/>
        </w:rPr>
      </w:pPr>
      <w:r>
        <w:rPr>
          <w:rFonts w:ascii="Verdana" w:hAnsi="Verdana"/>
          <w:sz w:val="20"/>
          <w:szCs w:val="20"/>
        </w:rPr>
        <w:t>Le plan de remboursement attendu ;</w:t>
      </w:r>
    </w:p>
    <w:p w:rsidR="004A5847" w:rsidRDefault="004A5847" w:rsidP="004A5847">
      <w:pPr>
        <w:numPr>
          <w:ilvl w:val="0"/>
          <w:numId w:val="1"/>
        </w:numPr>
        <w:jc w:val="both"/>
        <w:rPr>
          <w:rFonts w:ascii="Verdana" w:hAnsi="Verdana"/>
          <w:sz w:val="20"/>
          <w:szCs w:val="20"/>
        </w:rPr>
      </w:pPr>
      <w:r>
        <w:rPr>
          <w:rFonts w:ascii="Verdana" w:hAnsi="Verdana"/>
          <w:sz w:val="20"/>
          <w:szCs w:val="20"/>
        </w:rPr>
        <w:t>Les comptes consolidés de l’année 2017 et provisoires (ou définitifs si disponibles) de 2018 ;</w:t>
      </w:r>
    </w:p>
    <w:p w:rsidR="004A5847" w:rsidRDefault="004A5847" w:rsidP="004A5847">
      <w:pPr>
        <w:numPr>
          <w:ilvl w:val="0"/>
          <w:numId w:val="1"/>
        </w:numPr>
        <w:jc w:val="both"/>
        <w:rPr>
          <w:rFonts w:ascii="Verdana" w:hAnsi="Verdana"/>
          <w:sz w:val="20"/>
          <w:szCs w:val="20"/>
        </w:rPr>
      </w:pPr>
      <w:r>
        <w:rPr>
          <w:rFonts w:ascii="Verdana" w:hAnsi="Verdana"/>
          <w:sz w:val="20"/>
          <w:szCs w:val="20"/>
        </w:rPr>
        <w:t>Un plan d’affaire du proposant sur les trois prochaines années (2019, 2020 et 2021) validés par le réviseur aux comptes de la société ou par toute société d’audit légalement habilitée à le valider.</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Ces documents permettront de déterminer si l’avance récupérable proposée pourra effectivement être remboursée par le soumissionnaire. En cas d’approbation du projet, des conditions spécifiques directement liées à la situation du soumissionnaire pourront être requises.</w:t>
      </w:r>
    </w:p>
    <w:p w:rsidR="004A5847" w:rsidRDefault="004A5847" w:rsidP="004A5847">
      <w:pPr>
        <w:jc w:val="both"/>
        <w:rPr>
          <w:rFonts w:ascii="Verdana" w:hAnsi="Verdana"/>
          <w:sz w:val="20"/>
          <w:szCs w:val="20"/>
        </w:rPr>
      </w:pPr>
    </w:p>
    <w:p w:rsidR="004A5847" w:rsidRPr="00C43747" w:rsidRDefault="004A5847" w:rsidP="004A5847">
      <w:pPr>
        <w:pStyle w:val="Paragraphedeliste"/>
        <w:ind w:left="0"/>
        <w:contextualSpacing/>
        <w:jc w:val="both"/>
        <w:rPr>
          <w:rFonts w:ascii="Verdana" w:hAnsi="Verdana"/>
          <w:b/>
          <w:sz w:val="20"/>
          <w:szCs w:val="20"/>
          <w:u w:val="single"/>
          <w:lang w:val="fr-BE"/>
        </w:rPr>
      </w:pPr>
      <w:r w:rsidRPr="00C43747">
        <w:rPr>
          <w:rFonts w:ascii="Verdana" w:hAnsi="Verdana"/>
          <w:b/>
          <w:sz w:val="20"/>
          <w:szCs w:val="20"/>
          <w:u w:val="single"/>
          <w:lang w:val="fr-BE"/>
        </w:rPr>
        <w:t>Processus de sélection</w:t>
      </w:r>
    </w:p>
    <w:p w:rsidR="004A5847" w:rsidRPr="009A7969" w:rsidRDefault="004A5847" w:rsidP="004A5847">
      <w:pPr>
        <w:pStyle w:val="Paragraphedeliste"/>
        <w:ind w:left="0"/>
        <w:contextualSpacing/>
        <w:jc w:val="both"/>
        <w:rPr>
          <w:rFonts w:ascii="Verdana" w:hAnsi="Verdana"/>
          <w:sz w:val="20"/>
          <w:szCs w:val="20"/>
          <w:lang w:val="fr-BE"/>
        </w:rPr>
      </w:pPr>
    </w:p>
    <w:p w:rsidR="004A5847" w:rsidRDefault="004A5847" w:rsidP="004A5847">
      <w:pPr>
        <w:jc w:val="both"/>
        <w:rPr>
          <w:rFonts w:ascii="Verdana" w:hAnsi="Verdana"/>
          <w:noProof/>
          <w:sz w:val="20"/>
          <w:szCs w:val="20"/>
          <w:lang w:eastAsia="fr-BE"/>
        </w:rPr>
      </w:pPr>
      <w:r>
        <w:rPr>
          <w:rFonts w:ascii="Verdana" w:hAnsi="Verdana"/>
          <w:noProof/>
          <w:sz w:val="20"/>
          <w:szCs w:val="20"/>
          <w:lang w:eastAsia="fr-BE"/>
        </w:rPr>
        <w:t xml:space="preserve">La sélection définitive des projets par le Gouvernement se fera sur proposition du Ministre du Climat, après analyse de ceux-ci par le Département de l’Energie et du Bâtiment durable de la DGO4 en partenariat avec la DGO2 et l’Agence wallonne de l’Air et du Climat. </w:t>
      </w:r>
    </w:p>
    <w:p w:rsidR="004A5847" w:rsidRDefault="004A5847" w:rsidP="004A5847">
      <w:pPr>
        <w:pStyle w:val="Paragraphedeliste"/>
        <w:ind w:left="0"/>
        <w:jc w:val="both"/>
        <w:rPr>
          <w:rFonts w:ascii="Verdana" w:hAnsi="Verdana" w:cs="Verdana"/>
          <w:sz w:val="20"/>
          <w:szCs w:val="20"/>
          <w:lang w:val="fr-BE"/>
        </w:rPr>
      </w:pPr>
    </w:p>
    <w:p w:rsidR="004A5847" w:rsidRDefault="004A5847" w:rsidP="004A5847">
      <w:pPr>
        <w:pStyle w:val="Paragraphedeliste"/>
        <w:ind w:left="0"/>
        <w:jc w:val="both"/>
        <w:rPr>
          <w:rFonts w:ascii="Verdana" w:hAnsi="Verdana" w:cs="Verdana"/>
          <w:sz w:val="20"/>
          <w:szCs w:val="20"/>
          <w:lang w:val="fr-BE"/>
        </w:rPr>
      </w:pPr>
      <w:r>
        <w:rPr>
          <w:rFonts w:ascii="Verdana" w:hAnsi="Verdana" w:cs="Verdana"/>
          <w:sz w:val="20"/>
          <w:szCs w:val="20"/>
          <w:lang w:val="fr-BE"/>
        </w:rPr>
        <w:t>Outre les documents obligatoirement requis qui feront l’objet d’une analyse spécifique, l</w:t>
      </w:r>
      <w:r>
        <w:rPr>
          <w:rFonts w:ascii="Verdana" w:hAnsi="Verdana" w:cs="Verdana"/>
          <w:sz w:val="20"/>
          <w:szCs w:val="20"/>
        </w:rPr>
        <w:t>es projets seront évalués sur divers critères :</w:t>
      </w:r>
    </w:p>
    <w:p w:rsidR="004A5847" w:rsidRPr="008328CA" w:rsidRDefault="004A5847" w:rsidP="004A5847">
      <w:pPr>
        <w:pStyle w:val="Paragraphedeliste"/>
        <w:ind w:left="0"/>
        <w:jc w:val="both"/>
        <w:rPr>
          <w:rFonts w:ascii="Verdana" w:hAnsi="Verdana" w:cs="Verdana"/>
          <w:sz w:val="20"/>
          <w:szCs w:val="20"/>
          <w:lang w:val="fr-BE"/>
        </w:rPr>
      </w:pPr>
    </w:p>
    <w:p w:rsidR="004A5847" w:rsidRPr="007159AB" w:rsidRDefault="004A5847" w:rsidP="004A5847">
      <w:pPr>
        <w:pStyle w:val="Paragraphedeliste"/>
        <w:ind w:left="0"/>
        <w:jc w:val="both"/>
        <w:rPr>
          <w:rFonts w:ascii="Verdana" w:hAnsi="Verdana" w:cs="Verdana"/>
          <w:sz w:val="20"/>
          <w:szCs w:val="20"/>
          <w:lang w:val="fr-BE"/>
        </w:rPr>
      </w:pPr>
      <w:r>
        <w:rPr>
          <w:rFonts w:ascii="Verdana" w:hAnsi="Verdana" w:cs="Verdana"/>
          <w:sz w:val="20"/>
          <w:szCs w:val="20"/>
        </w:rPr>
        <w:t xml:space="preserve">1- </w:t>
      </w:r>
      <w:r>
        <w:rPr>
          <w:rFonts w:ascii="Verdana" w:hAnsi="Verdana" w:cs="Verdana"/>
          <w:sz w:val="20"/>
          <w:szCs w:val="20"/>
          <w:lang w:val="fr-BE"/>
        </w:rPr>
        <w:t>Expérience</w:t>
      </w:r>
      <w:r>
        <w:rPr>
          <w:rFonts w:ascii="Verdana" w:hAnsi="Verdana" w:cs="Verdana"/>
          <w:sz w:val="20"/>
          <w:szCs w:val="20"/>
        </w:rPr>
        <w:t xml:space="preserve"> du proposant ou du consortium :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xml:space="preserve">. Cette expérience sera évaluée en fonction des références motivées et relatives au type de projet déposé </w:t>
      </w:r>
      <w:r>
        <w:rPr>
          <w:rFonts w:ascii="Verdana" w:hAnsi="Verdana" w:cs="Verdana"/>
          <w:sz w:val="20"/>
          <w:szCs w:val="20"/>
        </w:rPr>
        <w:t xml:space="preserve">du proposant </w:t>
      </w:r>
      <w:r>
        <w:rPr>
          <w:rFonts w:ascii="Verdana" w:hAnsi="Verdana" w:cs="Verdana"/>
          <w:sz w:val="20"/>
          <w:szCs w:val="20"/>
        </w:rPr>
        <w:lastRenderedPageBreak/>
        <w:t>ou du consortium</w:t>
      </w:r>
      <w:r>
        <w:rPr>
          <w:rFonts w:ascii="Verdana" w:hAnsi="Verdana" w:cs="Verdana"/>
          <w:sz w:val="20"/>
          <w:szCs w:val="20"/>
          <w:lang w:val="fr-BE"/>
        </w:rPr>
        <w:t xml:space="preserve"> et de son habilité à mettre en œuvre et de gérer les infrastructures proposées.</w:t>
      </w:r>
    </w:p>
    <w:p w:rsidR="004A5847" w:rsidRPr="00231BE7" w:rsidRDefault="004A5847" w:rsidP="004A5847">
      <w:pPr>
        <w:pStyle w:val="Paragraphedeliste"/>
        <w:ind w:left="0"/>
        <w:jc w:val="both"/>
        <w:rPr>
          <w:rFonts w:ascii="Verdana" w:hAnsi="Verdana" w:cs="Verdana"/>
          <w:sz w:val="20"/>
          <w:szCs w:val="20"/>
          <w:lang w:val="fr-BE"/>
        </w:rPr>
      </w:pPr>
      <w:r>
        <w:rPr>
          <w:rFonts w:ascii="Verdana" w:hAnsi="Verdana" w:cs="Verdana"/>
          <w:sz w:val="20"/>
          <w:szCs w:val="20"/>
        </w:rPr>
        <w:t xml:space="preserve">2- </w:t>
      </w:r>
      <w:r>
        <w:rPr>
          <w:rFonts w:ascii="Verdana" w:hAnsi="Verdana" w:cs="Verdana"/>
          <w:sz w:val="20"/>
          <w:szCs w:val="20"/>
          <w:lang w:val="fr-BE"/>
        </w:rPr>
        <w:t>Territoire</w:t>
      </w:r>
      <w:r>
        <w:rPr>
          <w:rFonts w:ascii="Verdana" w:hAnsi="Verdana" w:cs="Verdana"/>
          <w:sz w:val="20"/>
          <w:szCs w:val="20"/>
        </w:rPr>
        <w:t xml:space="preserve"> de référence :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Afin de quantifier cet aspect, le proposant ou le consortium définira précisément le territoire sur lequel le déploiement sera effectué en précisant comment celui-ci a été défini. Un territoire à faible densité d’infrastructure de rechargement sera favorisé, ainsi que les territoires où une demande potentiellement importante pourra être démontrée.</w:t>
      </w:r>
    </w:p>
    <w:p w:rsidR="004A5847" w:rsidRPr="007159AB" w:rsidRDefault="004A5847" w:rsidP="004A5847">
      <w:pPr>
        <w:pStyle w:val="Paragraphedeliste"/>
        <w:ind w:left="0"/>
        <w:jc w:val="both"/>
        <w:rPr>
          <w:rFonts w:ascii="Verdana" w:hAnsi="Verdana" w:cs="Verdana"/>
          <w:sz w:val="20"/>
          <w:szCs w:val="20"/>
          <w:lang w:val="fr-BE"/>
        </w:rPr>
      </w:pPr>
      <w:r>
        <w:rPr>
          <w:rFonts w:ascii="Verdana" w:hAnsi="Verdana" w:cs="Verdana"/>
          <w:sz w:val="20"/>
          <w:szCs w:val="20"/>
        </w:rPr>
        <w:t xml:space="preserve">3- </w:t>
      </w:r>
      <w:r>
        <w:rPr>
          <w:rFonts w:ascii="Verdana" w:hAnsi="Verdana" w:cs="Verdana"/>
          <w:sz w:val="20"/>
          <w:szCs w:val="20"/>
          <w:lang w:val="fr-BE"/>
        </w:rPr>
        <w:t>Qualité du matériel</w:t>
      </w:r>
      <w:r>
        <w:rPr>
          <w:rFonts w:ascii="Verdana" w:hAnsi="Verdana" w:cs="Verdana"/>
          <w:sz w:val="20"/>
          <w:szCs w:val="20"/>
        </w:rPr>
        <w:t xml:space="preserve"> déployé :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xml:space="preserve">. Ce point sera évalué en fonction de la conformité du matériel qui sera amené à être déployé en regard de la Directive 2014/94/UE. </w:t>
      </w:r>
      <w:r w:rsidRPr="000F700A">
        <w:rPr>
          <w:rFonts w:ascii="Verdana" w:hAnsi="Verdana" w:cs="Verdana"/>
          <w:sz w:val="20"/>
          <w:szCs w:val="20"/>
          <w:lang w:val="fr-BE"/>
        </w:rPr>
        <w:t>Le matériel doit au minimum être conforme à la Directive (critère d’exclusion). Les critères d’évaluations seront notamment la robustesse, l’accessibilité et la facilité de paiement.</w:t>
      </w:r>
      <w:r>
        <w:rPr>
          <w:rFonts w:ascii="Verdana" w:hAnsi="Verdana" w:cs="Verdana"/>
          <w:sz w:val="20"/>
          <w:szCs w:val="20"/>
          <w:lang w:val="fr-BE"/>
        </w:rPr>
        <w:t xml:space="preserve"> </w:t>
      </w:r>
    </w:p>
    <w:p w:rsidR="004A5847" w:rsidRDefault="004A5847" w:rsidP="004A5847">
      <w:pPr>
        <w:pStyle w:val="Paragraphedeliste"/>
        <w:ind w:left="0"/>
        <w:jc w:val="both"/>
        <w:rPr>
          <w:rFonts w:ascii="Verdana" w:hAnsi="Verdana" w:cs="Verdana"/>
          <w:sz w:val="20"/>
          <w:szCs w:val="20"/>
          <w:lang w:val="fr-BE"/>
        </w:rPr>
      </w:pPr>
      <w:r>
        <w:rPr>
          <w:rFonts w:ascii="Verdana" w:hAnsi="Verdana" w:cs="Verdana"/>
          <w:sz w:val="20"/>
          <w:szCs w:val="20"/>
          <w:lang w:val="fr-BE"/>
        </w:rPr>
        <w:t>4</w:t>
      </w:r>
      <w:r>
        <w:rPr>
          <w:rFonts w:ascii="Verdana" w:hAnsi="Verdana" w:cs="Verdana"/>
          <w:sz w:val="20"/>
          <w:szCs w:val="20"/>
        </w:rPr>
        <w:t>- Stratégie commerciale</w:t>
      </w:r>
      <w:r>
        <w:rPr>
          <w:rFonts w:ascii="Verdana" w:hAnsi="Verdana" w:cs="Verdana"/>
          <w:sz w:val="20"/>
          <w:szCs w:val="20"/>
          <w:lang w:val="fr-BE"/>
        </w:rPr>
        <w:t xml:space="preserve"> </w:t>
      </w:r>
      <w:r>
        <w:rPr>
          <w:rFonts w:ascii="Verdana" w:hAnsi="Verdana" w:cs="Verdana"/>
          <w:sz w:val="20"/>
          <w:szCs w:val="20"/>
        </w:rPr>
        <w:t xml:space="preserve">: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xml:space="preserve">. Ce point vise spécifiquement à l’approche commerciale du service. Ce critère sera évalué en fonction de la visibilité (affichage, site web), application internet des installations qui sera donnée aux utilisateurs potentiels ainsi </w:t>
      </w:r>
      <w:proofErr w:type="gramStart"/>
      <w:r>
        <w:rPr>
          <w:rFonts w:ascii="Verdana" w:hAnsi="Verdana" w:cs="Verdana"/>
          <w:sz w:val="20"/>
          <w:szCs w:val="20"/>
          <w:lang w:val="fr-BE"/>
        </w:rPr>
        <w:t>qu’au aspect</w:t>
      </w:r>
      <w:proofErr w:type="gramEnd"/>
      <w:r>
        <w:rPr>
          <w:rFonts w:ascii="Verdana" w:hAnsi="Verdana" w:cs="Verdana"/>
          <w:sz w:val="20"/>
          <w:szCs w:val="20"/>
          <w:lang w:val="fr-BE"/>
        </w:rPr>
        <w:t xml:space="preserve"> de gestion de la clientèle (système de fidélisation, etc.)</w:t>
      </w:r>
    </w:p>
    <w:p w:rsidR="004A5847" w:rsidRDefault="004A5847" w:rsidP="004A5847">
      <w:pPr>
        <w:pStyle w:val="Paragraphedeliste"/>
        <w:ind w:left="0"/>
        <w:jc w:val="both"/>
        <w:rPr>
          <w:rFonts w:ascii="Verdana" w:hAnsi="Verdana" w:cs="Verdana"/>
          <w:sz w:val="20"/>
          <w:szCs w:val="20"/>
          <w:lang w:val="fr-BE"/>
        </w:rPr>
      </w:pPr>
    </w:p>
    <w:p w:rsidR="004A5847" w:rsidRPr="007159AB" w:rsidRDefault="004A5847" w:rsidP="004A5847">
      <w:pPr>
        <w:pStyle w:val="Paragraphedeliste"/>
        <w:ind w:left="0"/>
        <w:jc w:val="both"/>
        <w:rPr>
          <w:rFonts w:ascii="Verdana" w:hAnsi="Verdana" w:cs="Verdana"/>
          <w:sz w:val="20"/>
          <w:szCs w:val="20"/>
          <w:lang w:val="fr-BE"/>
        </w:rPr>
      </w:pPr>
      <w:r>
        <w:rPr>
          <w:rFonts w:ascii="Verdana" w:hAnsi="Verdana" w:cs="Verdana"/>
          <w:sz w:val="20"/>
          <w:szCs w:val="20"/>
          <w:lang w:val="fr-BE"/>
        </w:rPr>
        <w:t>Le score minium est de 50/100 et par critère de minimum 10/25.</w:t>
      </w:r>
    </w:p>
    <w:p w:rsidR="004A5847" w:rsidRDefault="004A5847" w:rsidP="004A5847">
      <w:pPr>
        <w:pStyle w:val="Paragraphedeliste"/>
        <w:ind w:left="0"/>
        <w:jc w:val="both"/>
        <w:rPr>
          <w:rFonts w:ascii="Verdana" w:hAnsi="Verdana" w:cs="Verdana"/>
          <w:sz w:val="20"/>
          <w:szCs w:val="20"/>
        </w:rPr>
      </w:pPr>
    </w:p>
    <w:p w:rsidR="004A5847" w:rsidRDefault="004A5847" w:rsidP="004A5847">
      <w:pPr>
        <w:pStyle w:val="Paragraphedeliste"/>
        <w:ind w:left="0"/>
        <w:jc w:val="both"/>
        <w:rPr>
          <w:rFonts w:ascii="Verdana" w:hAnsi="Verdana" w:cs="Verdana"/>
          <w:sz w:val="20"/>
          <w:szCs w:val="20"/>
        </w:rPr>
      </w:pPr>
      <w:r>
        <w:rPr>
          <w:rFonts w:ascii="Verdana" w:hAnsi="Verdana" w:cs="Verdana"/>
          <w:sz w:val="20"/>
          <w:szCs w:val="20"/>
        </w:rPr>
        <w:t>Les projets sélectionnés feront l'objet d'un arrêté de subventionnement précisant en détail les modalités contractuelles et budgétaires liées au projet.</w:t>
      </w:r>
    </w:p>
    <w:p w:rsidR="00B11B6C" w:rsidRDefault="00B11B6C" w:rsidP="004A5847">
      <w:pPr>
        <w:rPr>
          <w:rFonts w:ascii="Verdana" w:hAnsi="Verdana" w:cs="Verdana"/>
          <w:sz w:val="20"/>
          <w:szCs w:val="20"/>
        </w:rPr>
      </w:pPr>
    </w:p>
    <w:p w:rsidR="00866B32" w:rsidRPr="00C10EF9" w:rsidRDefault="00866B32" w:rsidP="00866B32">
      <w:pPr>
        <w:pStyle w:val="Paragraphedeliste"/>
        <w:ind w:left="0"/>
        <w:jc w:val="both"/>
        <w:rPr>
          <w:rFonts w:ascii="Verdana" w:hAnsi="Verdana" w:cs="Verdana"/>
          <w:b/>
          <w:sz w:val="20"/>
          <w:szCs w:val="20"/>
          <w:u w:val="single"/>
        </w:rPr>
      </w:pPr>
      <w:r w:rsidRPr="00C10EF9">
        <w:rPr>
          <w:rFonts w:ascii="Verdana" w:hAnsi="Verdana" w:cs="Verdana"/>
          <w:b/>
          <w:sz w:val="20"/>
          <w:szCs w:val="20"/>
          <w:u w:val="single"/>
        </w:rPr>
        <w:t>Contact</w:t>
      </w:r>
    </w:p>
    <w:p w:rsidR="00866B32" w:rsidRDefault="00866B32" w:rsidP="00866B32">
      <w:pPr>
        <w:pStyle w:val="Paragraphedeliste"/>
        <w:ind w:left="0"/>
        <w:jc w:val="both"/>
        <w:rPr>
          <w:rFonts w:ascii="Verdana" w:hAnsi="Verdana" w:cs="Verdana"/>
          <w:sz w:val="20"/>
          <w:szCs w:val="20"/>
        </w:rPr>
      </w:pP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Tout contact peut être obtenu auprès de :</w:t>
      </w:r>
    </w:p>
    <w:p w:rsidR="00866B32" w:rsidRDefault="00866B32" w:rsidP="00866B32">
      <w:pPr>
        <w:pStyle w:val="Paragraphedeliste"/>
        <w:ind w:left="0"/>
        <w:jc w:val="both"/>
        <w:rPr>
          <w:rFonts w:ascii="Verdana" w:hAnsi="Verdana" w:cs="Verdana"/>
          <w:sz w:val="20"/>
          <w:szCs w:val="20"/>
        </w:rPr>
      </w:pP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Monsieur Pascal LEHANCE, Attaché</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DGO4 – Département de l’Energie et du Bâtiment durable</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Direction de la Promotion de l’Energie durable</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Rue des Brigades d’Irlande 1,</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5100</w:t>
      </w:r>
      <w:r>
        <w:rPr>
          <w:rFonts w:ascii="Verdana" w:hAnsi="Verdana" w:cs="Verdana"/>
          <w:sz w:val="20"/>
          <w:szCs w:val="20"/>
        </w:rPr>
        <w:tab/>
        <w:t>JAMBES</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Tél. : 081/48.63.32</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 xml:space="preserve">Courriel : </w:t>
      </w:r>
      <w:hyperlink r:id="rId5" w:history="1">
        <w:r w:rsidRPr="00422E52">
          <w:rPr>
            <w:rStyle w:val="Lienhypertexte"/>
            <w:rFonts w:ascii="Verdana" w:hAnsi="Verdana" w:cs="Verdana"/>
            <w:sz w:val="20"/>
            <w:szCs w:val="20"/>
            <w:lang w:val="fr-BE" w:eastAsia="hi-IN" w:bidi="hi-IN"/>
          </w:rPr>
          <w:t>pascal.lehance@spw.wallonie.be</w:t>
        </w:r>
      </w:hyperlink>
      <w:r>
        <w:rPr>
          <w:rFonts w:ascii="Verdana" w:hAnsi="Verdana" w:cs="Verdana"/>
          <w:sz w:val="20"/>
          <w:szCs w:val="20"/>
        </w:rPr>
        <w:t xml:space="preserve"> </w:t>
      </w:r>
    </w:p>
    <w:p w:rsidR="004A5847" w:rsidRDefault="004A5847" w:rsidP="004A5847"/>
    <w:sectPr w:rsidR="004A5847" w:rsidSect="00B11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E4D448D"/>
    <w:multiLevelType w:val="hybridMultilevel"/>
    <w:tmpl w:val="57B4E9A6"/>
    <w:lvl w:ilvl="0" w:tplc="95461E5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1F9054F"/>
    <w:multiLevelType w:val="hybridMultilevel"/>
    <w:tmpl w:val="3DFC3938"/>
    <w:lvl w:ilvl="0" w:tplc="587CE386">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ABD012F"/>
    <w:multiLevelType w:val="hybridMultilevel"/>
    <w:tmpl w:val="FF420BA4"/>
    <w:lvl w:ilvl="0" w:tplc="3244AA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40806DF"/>
    <w:multiLevelType w:val="hybridMultilevel"/>
    <w:tmpl w:val="B3AC4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FE90539"/>
    <w:multiLevelType w:val="hybridMultilevel"/>
    <w:tmpl w:val="635C4D86"/>
    <w:lvl w:ilvl="0" w:tplc="64AA6EB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8AB"/>
    <w:rsid w:val="00176998"/>
    <w:rsid w:val="001A0F4B"/>
    <w:rsid w:val="001C6DA7"/>
    <w:rsid w:val="002638AB"/>
    <w:rsid w:val="004A3DEC"/>
    <w:rsid w:val="004A5847"/>
    <w:rsid w:val="00866B32"/>
    <w:rsid w:val="00B11B6C"/>
    <w:rsid w:val="00BB156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sz w:val="21"/>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47"/>
    <w:pPr>
      <w:spacing w:after="0" w:line="240" w:lineRule="auto"/>
    </w:pPr>
    <w:rPr>
      <w:rFonts w:ascii="Times New Roman" w:eastAsia="Times New Roman" w:hAnsi="Times New Roman" w:cs="Times New Roman"/>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34"/>
    <w:qFormat/>
    <w:rsid w:val="004A5847"/>
    <w:pPr>
      <w:ind w:left="708"/>
    </w:pPr>
  </w:style>
  <w:style w:type="character" w:customStyle="1" w:styleId="ParagraphedelisteCar">
    <w:name w:val="Paragraphe de liste Car"/>
    <w:aliases w:val="Lettre d'introduction Car"/>
    <w:link w:val="Paragraphedeliste"/>
    <w:uiPriority w:val="34"/>
    <w:rsid w:val="004A5847"/>
    <w:rPr>
      <w:rFonts w:ascii="Times New Roman" w:eastAsia="Times New Roman" w:hAnsi="Times New Roman" w:cs="Times New Roman"/>
      <w:sz w:val="24"/>
      <w:lang w:val="fr-FR" w:eastAsia="fr-FR"/>
    </w:rPr>
  </w:style>
  <w:style w:type="character" w:styleId="Lienhypertexte">
    <w:name w:val="Hyperlink"/>
    <w:rsid w:val="00866B32"/>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cal.lehance@spw.walloni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12841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128086</dc:creator>
  <cp:lastModifiedBy>128086</cp:lastModifiedBy>
  <cp:revision>2</cp:revision>
  <dcterms:created xsi:type="dcterms:W3CDTF">2019-03-14T14:58:00Z</dcterms:created>
  <dcterms:modified xsi:type="dcterms:W3CDTF">2019-03-14T14:58:00Z</dcterms:modified>
</cp:coreProperties>
</file>