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C78" w:rsidRPr="00C358AF" w:rsidRDefault="00B34C78" w:rsidP="00B34C78">
      <w:pPr>
        <w:jc w:val="center"/>
        <w:rPr>
          <w:rFonts w:ascii="Verdana" w:hAnsi="Verdana"/>
          <w:b/>
          <w:caps/>
          <w:kern w:val="20"/>
          <w:sz w:val="20"/>
          <w:szCs w:val="22"/>
        </w:rPr>
      </w:pPr>
      <w:r w:rsidRPr="00C358AF">
        <w:rPr>
          <w:rFonts w:ascii="Verdana" w:hAnsi="Verdana"/>
          <w:b/>
          <w:caps/>
          <w:kern w:val="20"/>
          <w:sz w:val="20"/>
          <w:szCs w:val="22"/>
        </w:rPr>
        <w:t xml:space="preserve">Appel à projets pour le déploiement d’une infrastructure en carburants alternatifs – </w:t>
      </w:r>
      <w:r w:rsidRPr="00C358AF">
        <w:rPr>
          <w:rFonts w:ascii="Verdana" w:hAnsi="Verdana"/>
          <w:b/>
          <w:caps/>
          <w:kern w:val="20"/>
          <w:sz w:val="20"/>
          <w:szCs w:val="22"/>
          <w:highlight w:val="yellow"/>
        </w:rPr>
        <w:t>Volet pouvoirs publics</w:t>
      </w:r>
    </w:p>
    <w:p w:rsidR="00B34C78" w:rsidRPr="00C358AF" w:rsidRDefault="00B34C78" w:rsidP="00B34C78">
      <w:pPr>
        <w:jc w:val="both"/>
        <w:rPr>
          <w:rFonts w:ascii="Verdana" w:hAnsi="Verdana"/>
          <w:sz w:val="20"/>
          <w:szCs w:val="22"/>
        </w:rPr>
      </w:pPr>
    </w:p>
    <w:p w:rsidR="00B34C78" w:rsidRPr="00C358AF" w:rsidRDefault="00B34C78" w:rsidP="00B34C78">
      <w:pPr>
        <w:jc w:val="both"/>
        <w:rPr>
          <w:rFonts w:ascii="Verdana" w:hAnsi="Verdana"/>
          <w:sz w:val="20"/>
          <w:szCs w:val="22"/>
        </w:rPr>
      </w:pPr>
    </w:p>
    <w:p w:rsidR="00B34C78" w:rsidRPr="00C358AF" w:rsidRDefault="00B34C78" w:rsidP="00B34C78">
      <w:pPr>
        <w:jc w:val="both"/>
        <w:rPr>
          <w:rFonts w:ascii="Verdana" w:hAnsi="Verdana"/>
          <w:sz w:val="20"/>
          <w:szCs w:val="20"/>
        </w:rPr>
      </w:pPr>
      <w:r w:rsidRPr="00C358AF">
        <w:rPr>
          <w:rFonts w:ascii="Verdana" w:hAnsi="Verdana"/>
          <w:sz w:val="20"/>
          <w:szCs w:val="20"/>
        </w:rPr>
        <w:t>L’appel à projets vise à la mise en œuvre :</w:t>
      </w:r>
    </w:p>
    <w:p w:rsidR="00B34C78" w:rsidRPr="00C358AF" w:rsidRDefault="00B34C78" w:rsidP="00B34C78">
      <w:pPr>
        <w:jc w:val="both"/>
        <w:rPr>
          <w:rFonts w:ascii="Verdana" w:hAnsi="Verdana"/>
          <w:sz w:val="20"/>
          <w:szCs w:val="20"/>
        </w:rPr>
      </w:pPr>
    </w:p>
    <w:p w:rsidR="00B34C78" w:rsidRPr="00C358AF" w:rsidRDefault="00B34C78" w:rsidP="00B34C78">
      <w:pPr>
        <w:jc w:val="both"/>
        <w:rPr>
          <w:rFonts w:ascii="Verdana" w:hAnsi="Verdana"/>
          <w:b/>
          <w:sz w:val="20"/>
          <w:szCs w:val="20"/>
          <w:u w:val="single"/>
        </w:rPr>
      </w:pPr>
      <w:r w:rsidRPr="00C358AF">
        <w:rPr>
          <w:rFonts w:ascii="Verdana" w:hAnsi="Verdana"/>
          <w:b/>
          <w:sz w:val="20"/>
          <w:szCs w:val="20"/>
          <w:u w:val="single"/>
        </w:rPr>
        <w:t>Pour les bornes de chargement</w:t>
      </w:r>
    </w:p>
    <w:p w:rsidR="00B34C78" w:rsidRPr="00C358AF" w:rsidRDefault="00B34C78" w:rsidP="00B34C78">
      <w:pPr>
        <w:jc w:val="both"/>
        <w:rPr>
          <w:rFonts w:ascii="Verdana" w:hAnsi="Verdana"/>
          <w:b/>
          <w:sz w:val="20"/>
          <w:szCs w:val="20"/>
          <w:u w:val="single"/>
        </w:rPr>
      </w:pPr>
    </w:p>
    <w:p w:rsidR="00B34C78" w:rsidRPr="00C358AF" w:rsidRDefault="00B34C78" w:rsidP="00B34C78">
      <w:pPr>
        <w:widowControl w:val="0"/>
        <w:numPr>
          <w:ilvl w:val="0"/>
          <w:numId w:val="1"/>
        </w:numPr>
        <w:suppressAutoHyphens/>
        <w:jc w:val="both"/>
        <w:rPr>
          <w:rFonts w:ascii="Verdana" w:hAnsi="Verdana"/>
          <w:sz w:val="20"/>
          <w:szCs w:val="20"/>
        </w:rPr>
      </w:pPr>
      <w:r w:rsidRPr="00C358AF">
        <w:rPr>
          <w:rFonts w:ascii="Verdana" w:hAnsi="Verdana"/>
          <w:sz w:val="20"/>
          <w:szCs w:val="20"/>
        </w:rPr>
        <w:t>De bornes d’une puissance nominale inférieure ou égale à 4kW pour le chargement de vélos, speed-</w:t>
      </w:r>
      <w:proofErr w:type="spellStart"/>
      <w:r w:rsidRPr="00C358AF">
        <w:rPr>
          <w:rFonts w:ascii="Verdana" w:hAnsi="Verdana"/>
          <w:sz w:val="20"/>
          <w:szCs w:val="20"/>
        </w:rPr>
        <w:t>pedelecs</w:t>
      </w:r>
      <w:proofErr w:type="spellEnd"/>
      <w:r w:rsidRPr="00C358AF">
        <w:rPr>
          <w:rFonts w:ascii="Verdana" w:hAnsi="Verdana"/>
          <w:sz w:val="20"/>
          <w:szCs w:val="20"/>
        </w:rPr>
        <w:t xml:space="preserve"> ou véhicules légers ;</w:t>
      </w:r>
    </w:p>
    <w:p w:rsidR="00B34C78" w:rsidRPr="00C358AF" w:rsidRDefault="00B34C78" w:rsidP="00B34C78">
      <w:pPr>
        <w:widowControl w:val="0"/>
        <w:numPr>
          <w:ilvl w:val="0"/>
          <w:numId w:val="1"/>
        </w:numPr>
        <w:suppressAutoHyphens/>
        <w:jc w:val="both"/>
        <w:rPr>
          <w:rFonts w:ascii="Verdana" w:hAnsi="Verdana"/>
          <w:sz w:val="20"/>
          <w:szCs w:val="20"/>
        </w:rPr>
      </w:pPr>
      <w:r w:rsidRPr="00C358AF">
        <w:rPr>
          <w:rFonts w:ascii="Verdana" w:hAnsi="Verdana"/>
          <w:sz w:val="20"/>
          <w:szCs w:val="20"/>
        </w:rPr>
        <w:t>De bornes d’une puissance nominale supérieure à 4kW et inférieure ou égale à 22kW ;</w:t>
      </w:r>
    </w:p>
    <w:p w:rsidR="00B34C78" w:rsidRPr="00C358AF" w:rsidRDefault="00B34C78" w:rsidP="00B34C78">
      <w:pPr>
        <w:widowControl w:val="0"/>
        <w:numPr>
          <w:ilvl w:val="0"/>
          <w:numId w:val="1"/>
        </w:numPr>
        <w:suppressAutoHyphens/>
        <w:jc w:val="both"/>
        <w:rPr>
          <w:rFonts w:ascii="Verdana" w:hAnsi="Verdana"/>
          <w:sz w:val="20"/>
          <w:szCs w:val="20"/>
        </w:rPr>
      </w:pPr>
      <w:r w:rsidRPr="00C358AF">
        <w:rPr>
          <w:rFonts w:ascii="Verdana" w:hAnsi="Verdana"/>
          <w:sz w:val="20"/>
          <w:szCs w:val="20"/>
        </w:rPr>
        <w:t>De bornes d’une puissance nominale supérieure à 22 kW et inférieure ou égale à 50kW.</w:t>
      </w:r>
    </w:p>
    <w:p w:rsidR="00B34C78" w:rsidRPr="00C358AF" w:rsidRDefault="00B34C78" w:rsidP="00B34C78">
      <w:pPr>
        <w:jc w:val="both"/>
        <w:rPr>
          <w:rFonts w:ascii="Verdana" w:hAnsi="Verdana"/>
          <w:sz w:val="20"/>
          <w:szCs w:val="20"/>
        </w:rPr>
      </w:pPr>
    </w:p>
    <w:p w:rsidR="00B34C78" w:rsidRPr="00C358AF" w:rsidRDefault="00B34C78" w:rsidP="00B34C78">
      <w:pPr>
        <w:jc w:val="both"/>
        <w:rPr>
          <w:rFonts w:ascii="Verdana" w:hAnsi="Verdana"/>
          <w:sz w:val="20"/>
          <w:szCs w:val="20"/>
        </w:rPr>
      </w:pPr>
      <w:r w:rsidRPr="00C358AF">
        <w:rPr>
          <w:rFonts w:ascii="Verdana" w:hAnsi="Verdana"/>
          <w:sz w:val="20"/>
          <w:szCs w:val="20"/>
        </w:rPr>
        <w:t>Les bornes d’une puissance supérieure à 50kW ne sont pas autorisées dans le présent appel. </w:t>
      </w:r>
    </w:p>
    <w:p w:rsidR="00B34C78" w:rsidRPr="00C358AF" w:rsidRDefault="00B34C78" w:rsidP="00B34C78">
      <w:pPr>
        <w:jc w:val="both"/>
        <w:rPr>
          <w:rFonts w:ascii="Verdana" w:hAnsi="Verdana"/>
          <w:sz w:val="20"/>
          <w:szCs w:val="20"/>
        </w:rPr>
      </w:pPr>
    </w:p>
    <w:p w:rsidR="00B34C78" w:rsidRPr="00C358AF" w:rsidRDefault="00B34C78" w:rsidP="00B34C78">
      <w:pPr>
        <w:jc w:val="both"/>
        <w:rPr>
          <w:rFonts w:ascii="Verdana" w:hAnsi="Verdana"/>
          <w:b/>
          <w:sz w:val="20"/>
          <w:szCs w:val="20"/>
          <w:u w:val="single"/>
        </w:rPr>
      </w:pPr>
      <w:r w:rsidRPr="00C358AF">
        <w:rPr>
          <w:rFonts w:ascii="Verdana" w:hAnsi="Verdana"/>
          <w:b/>
          <w:sz w:val="20"/>
          <w:szCs w:val="20"/>
          <w:u w:val="single"/>
        </w:rPr>
        <w:t>Pour l’alimentation en électricité d’origine renouvelable</w:t>
      </w:r>
    </w:p>
    <w:p w:rsidR="00B34C78" w:rsidRPr="00C358AF" w:rsidRDefault="00B34C78" w:rsidP="00B34C78">
      <w:pPr>
        <w:jc w:val="both"/>
        <w:rPr>
          <w:rFonts w:ascii="Verdana" w:hAnsi="Verdana"/>
          <w:b/>
          <w:sz w:val="20"/>
          <w:szCs w:val="20"/>
          <w:u w:val="single"/>
        </w:rPr>
      </w:pPr>
    </w:p>
    <w:p w:rsidR="00B34C78" w:rsidRPr="00C358AF" w:rsidRDefault="00B34C78" w:rsidP="00B34C78">
      <w:pPr>
        <w:jc w:val="both"/>
        <w:rPr>
          <w:rFonts w:ascii="Verdana" w:hAnsi="Verdana" w:cs="Verdana"/>
          <w:sz w:val="20"/>
          <w:szCs w:val="20"/>
        </w:rPr>
      </w:pPr>
      <w:r w:rsidRPr="00C358AF">
        <w:rPr>
          <w:rFonts w:ascii="Verdana" w:hAnsi="Verdana" w:cs="Verdana"/>
          <w:sz w:val="20"/>
          <w:szCs w:val="20"/>
        </w:rPr>
        <w:t>Toute installation produisant de l’électricité à partir de sources d’énergie renouvelable et directement raccordée aux infrastructures de chargement pour véhicules électriques en ce compris l’onduleur et tous les raccordements nécessaires.</w:t>
      </w:r>
    </w:p>
    <w:p w:rsidR="00B34C78" w:rsidRPr="00C358AF" w:rsidRDefault="00B34C78" w:rsidP="00B34C78">
      <w:pPr>
        <w:jc w:val="both"/>
        <w:rPr>
          <w:rFonts w:ascii="Verdana" w:hAnsi="Verdana" w:cs="Verdana"/>
          <w:sz w:val="20"/>
          <w:szCs w:val="20"/>
        </w:rPr>
      </w:pPr>
    </w:p>
    <w:p w:rsidR="00B34C78" w:rsidRPr="00C358AF" w:rsidRDefault="00B34C78" w:rsidP="00B34C78">
      <w:pPr>
        <w:jc w:val="both"/>
        <w:rPr>
          <w:rFonts w:ascii="Verdana" w:hAnsi="Verdana"/>
          <w:b/>
          <w:sz w:val="20"/>
          <w:szCs w:val="20"/>
          <w:u w:val="single"/>
        </w:rPr>
      </w:pPr>
      <w:r w:rsidRPr="00C358AF">
        <w:rPr>
          <w:rFonts w:ascii="Verdana" w:hAnsi="Verdana"/>
          <w:b/>
          <w:sz w:val="20"/>
          <w:szCs w:val="20"/>
          <w:u w:val="single"/>
        </w:rPr>
        <w:t>Type de soutien</w:t>
      </w:r>
    </w:p>
    <w:p w:rsidR="00B34C78" w:rsidRPr="00C358AF" w:rsidRDefault="00B34C78" w:rsidP="00B34C78">
      <w:pPr>
        <w:jc w:val="both"/>
        <w:rPr>
          <w:rFonts w:ascii="Verdana" w:hAnsi="Verdana"/>
          <w:sz w:val="20"/>
          <w:szCs w:val="22"/>
        </w:rPr>
      </w:pPr>
    </w:p>
    <w:p w:rsidR="00B34C78" w:rsidRPr="00C358AF" w:rsidRDefault="00B34C78" w:rsidP="00B34C78">
      <w:pPr>
        <w:jc w:val="both"/>
        <w:rPr>
          <w:rFonts w:ascii="Verdana" w:hAnsi="Verdana" w:cs="Verdana"/>
          <w:sz w:val="20"/>
          <w:szCs w:val="20"/>
        </w:rPr>
      </w:pPr>
      <w:r w:rsidRPr="00C358AF">
        <w:rPr>
          <w:rFonts w:ascii="Verdana" w:hAnsi="Verdana" w:cs="Verdana"/>
          <w:sz w:val="20"/>
          <w:szCs w:val="20"/>
        </w:rPr>
        <w:t>Le soutien est prévu sous forme d’</w:t>
      </w:r>
      <w:r w:rsidRPr="00C358AF">
        <w:rPr>
          <w:rFonts w:ascii="Verdana" w:hAnsi="Verdana" w:cs="Verdana"/>
          <w:b/>
          <w:sz w:val="20"/>
          <w:szCs w:val="20"/>
        </w:rPr>
        <w:t xml:space="preserve">avance récupérable </w:t>
      </w:r>
      <w:r w:rsidRPr="00C358AF">
        <w:rPr>
          <w:rFonts w:ascii="Verdana" w:hAnsi="Verdana"/>
          <w:sz w:val="20"/>
          <w:szCs w:val="20"/>
        </w:rPr>
        <w:t xml:space="preserve">(Fonds wallon Kyoto – 2.000.000 euros – de type « avances récupérables – CODE 8 ») </w:t>
      </w:r>
      <w:r w:rsidRPr="00C358AF">
        <w:rPr>
          <w:rFonts w:ascii="Verdana" w:hAnsi="Verdana" w:cs="Verdana"/>
          <w:sz w:val="20"/>
          <w:szCs w:val="20"/>
        </w:rPr>
        <w:t>et est défini comme suit :</w:t>
      </w:r>
    </w:p>
    <w:p w:rsidR="00B34C78" w:rsidRPr="00C358AF" w:rsidRDefault="00B34C78" w:rsidP="00B34C78">
      <w:pPr>
        <w:jc w:val="both"/>
        <w:rPr>
          <w:rFonts w:ascii="Verdana" w:hAnsi="Verdana"/>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3"/>
        <w:gridCol w:w="1567"/>
        <w:gridCol w:w="2069"/>
        <w:gridCol w:w="2069"/>
      </w:tblGrid>
      <w:tr w:rsidR="00B34C78" w:rsidRPr="00C358AF" w:rsidTr="00D12C65">
        <w:tc>
          <w:tcPr>
            <w:tcW w:w="4016" w:type="dxa"/>
          </w:tcPr>
          <w:p w:rsidR="00B34C78" w:rsidRPr="00C358AF" w:rsidRDefault="00B34C78" w:rsidP="00D12C65">
            <w:pPr>
              <w:jc w:val="both"/>
              <w:rPr>
                <w:rFonts w:ascii="Verdana" w:hAnsi="Verdana" w:cs="Verdana"/>
                <w:b/>
                <w:sz w:val="20"/>
                <w:szCs w:val="20"/>
              </w:rPr>
            </w:pPr>
            <w:r w:rsidRPr="00C358AF">
              <w:rPr>
                <w:rFonts w:ascii="Verdana" w:hAnsi="Verdana" w:cs="Verdana"/>
                <w:b/>
                <w:sz w:val="20"/>
                <w:szCs w:val="20"/>
              </w:rPr>
              <w:t>Projets éligibles</w:t>
            </w:r>
          </w:p>
        </w:tc>
        <w:tc>
          <w:tcPr>
            <w:tcW w:w="1594" w:type="dxa"/>
          </w:tcPr>
          <w:p w:rsidR="00B34C78" w:rsidRPr="00C358AF" w:rsidRDefault="00B34C78" w:rsidP="00D12C65">
            <w:pPr>
              <w:jc w:val="center"/>
              <w:rPr>
                <w:rFonts w:ascii="Verdana" w:hAnsi="Verdana" w:cs="Verdana"/>
                <w:b/>
                <w:sz w:val="20"/>
                <w:szCs w:val="20"/>
              </w:rPr>
            </w:pPr>
            <w:r w:rsidRPr="00C358AF">
              <w:rPr>
                <w:rFonts w:ascii="Verdana" w:hAnsi="Verdana" w:cs="Verdana"/>
                <w:b/>
                <w:sz w:val="20"/>
                <w:szCs w:val="20"/>
              </w:rPr>
              <w:t>Nombre de communes couvertes</w:t>
            </w:r>
          </w:p>
        </w:tc>
        <w:tc>
          <w:tcPr>
            <w:tcW w:w="2122" w:type="dxa"/>
          </w:tcPr>
          <w:p w:rsidR="00B34C78" w:rsidRPr="00C358AF" w:rsidRDefault="00B34C78" w:rsidP="00D12C65">
            <w:pPr>
              <w:jc w:val="center"/>
              <w:rPr>
                <w:rFonts w:ascii="Verdana" w:hAnsi="Verdana" w:cs="Verdana"/>
                <w:b/>
                <w:sz w:val="20"/>
                <w:szCs w:val="20"/>
              </w:rPr>
            </w:pPr>
            <w:r w:rsidRPr="00C358AF">
              <w:rPr>
                <w:rFonts w:ascii="Verdana" w:hAnsi="Verdana" w:cs="Verdana"/>
                <w:b/>
                <w:sz w:val="20"/>
                <w:szCs w:val="20"/>
              </w:rPr>
              <w:t>Pourcentage d’intervention</w:t>
            </w:r>
          </w:p>
        </w:tc>
        <w:tc>
          <w:tcPr>
            <w:tcW w:w="2122" w:type="dxa"/>
          </w:tcPr>
          <w:p w:rsidR="00B34C78" w:rsidRPr="00C358AF" w:rsidRDefault="00B34C78" w:rsidP="00D12C65">
            <w:pPr>
              <w:jc w:val="center"/>
              <w:rPr>
                <w:rFonts w:ascii="Verdana" w:hAnsi="Verdana" w:cs="Verdana"/>
                <w:b/>
                <w:sz w:val="20"/>
                <w:szCs w:val="20"/>
              </w:rPr>
            </w:pPr>
            <w:r w:rsidRPr="00C358AF">
              <w:rPr>
                <w:rFonts w:ascii="Verdana" w:hAnsi="Verdana" w:cs="Verdana"/>
                <w:b/>
                <w:sz w:val="20"/>
                <w:szCs w:val="20"/>
              </w:rPr>
              <w:t>Montant maximum d’intervention</w:t>
            </w:r>
          </w:p>
        </w:tc>
      </w:tr>
      <w:tr w:rsidR="00B34C78" w:rsidRPr="00C358AF" w:rsidTr="00D12C65">
        <w:tc>
          <w:tcPr>
            <w:tcW w:w="4016" w:type="dxa"/>
          </w:tcPr>
          <w:p w:rsidR="00B34C78" w:rsidRPr="00C358AF" w:rsidRDefault="00B34C78" w:rsidP="00D12C65">
            <w:pPr>
              <w:jc w:val="both"/>
              <w:rPr>
                <w:rFonts w:ascii="Verdana" w:hAnsi="Verdana" w:cs="Verdana"/>
                <w:sz w:val="20"/>
                <w:szCs w:val="20"/>
              </w:rPr>
            </w:pPr>
            <w:r w:rsidRPr="00C358AF">
              <w:rPr>
                <w:rFonts w:ascii="Verdana" w:hAnsi="Verdana"/>
                <w:sz w:val="20"/>
                <w:szCs w:val="20"/>
              </w:rPr>
              <w:t>Bornes d’une puissance nominale inférieure ou égale à 4kW pour le chargement de vélos, speed-</w:t>
            </w:r>
            <w:proofErr w:type="spellStart"/>
            <w:r w:rsidRPr="00C358AF">
              <w:rPr>
                <w:rFonts w:ascii="Verdana" w:hAnsi="Verdana"/>
                <w:sz w:val="20"/>
                <w:szCs w:val="20"/>
              </w:rPr>
              <w:t>pedelecs</w:t>
            </w:r>
            <w:proofErr w:type="spellEnd"/>
            <w:r w:rsidRPr="00C358AF">
              <w:rPr>
                <w:rFonts w:ascii="Verdana" w:hAnsi="Verdana"/>
                <w:sz w:val="20"/>
                <w:szCs w:val="20"/>
              </w:rPr>
              <w:t xml:space="preserve"> ou véhicules légers </w:t>
            </w:r>
          </w:p>
        </w:tc>
        <w:tc>
          <w:tcPr>
            <w:tcW w:w="1594"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1</w:t>
            </w:r>
          </w:p>
        </w:tc>
        <w:tc>
          <w:tcPr>
            <w:tcW w:w="2122"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100</w:t>
            </w:r>
          </w:p>
        </w:tc>
        <w:tc>
          <w:tcPr>
            <w:tcW w:w="2122"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20.000 €</w:t>
            </w:r>
          </w:p>
        </w:tc>
      </w:tr>
      <w:tr w:rsidR="00B34C78" w:rsidRPr="00C358AF" w:rsidTr="00D12C65">
        <w:tc>
          <w:tcPr>
            <w:tcW w:w="4016" w:type="dxa"/>
          </w:tcPr>
          <w:p w:rsidR="00B34C78" w:rsidRPr="00C358AF" w:rsidRDefault="00B34C78" w:rsidP="00D12C65">
            <w:pPr>
              <w:jc w:val="both"/>
              <w:rPr>
                <w:rFonts w:ascii="Verdana" w:hAnsi="Verdana" w:cs="Verdana"/>
                <w:sz w:val="20"/>
                <w:szCs w:val="20"/>
              </w:rPr>
            </w:pPr>
            <w:r w:rsidRPr="00C358AF">
              <w:rPr>
                <w:rFonts w:ascii="Verdana" w:hAnsi="Verdana"/>
                <w:sz w:val="20"/>
                <w:szCs w:val="20"/>
              </w:rPr>
              <w:t>Bornes d’une puissance nominale inférieure ou égale à 4kW pour le chargement de vélos, speed-</w:t>
            </w:r>
            <w:proofErr w:type="spellStart"/>
            <w:r w:rsidRPr="00C358AF">
              <w:rPr>
                <w:rFonts w:ascii="Verdana" w:hAnsi="Verdana"/>
                <w:sz w:val="20"/>
                <w:szCs w:val="20"/>
              </w:rPr>
              <w:t>pedelecs</w:t>
            </w:r>
            <w:proofErr w:type="spellEnd"/>
            <w:r w:rsidRPr="00C358AF">
              <w:rPr>
                <w:rFonts w:ascii="Verdana" w:hAnsi="Verdana"/>
                <w:sz w:val="20"/>
                <w:szCs w:val="20"/>
              </w:rPr>
              <w:t xml:space="preserve"> ou véhicules légers </w:t>
            </w:r>
          </w:p>
        </w:tc>
        <w:tc>
          <w:tcPr>
            <w:tcW w:w="1594"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&gt;1 ou ville de plus de 50.000 habitants</w:t>
            </w:r>
          </w:p>
        </w:tc>
        <w:tc>
          <w:tcPr>
            <w:tcW w:w="2122"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100</w:t>
            </w:r>
          </w:p>
        </w:tc>
        <w:tc>
          <w:tcPr>
            <w:tcW w:w="2122"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60.000 €</w:t>
            </w:r>
          </w:p>
        </w:tc>
      </w:tr>
      <w:tr w:rsidR="00B34C78" w:rsidRPr="00C358AF" w:rsidTr="00D12C65">
        <w:tc>
          <w:tcPr>
            <w:tcW w:w="4016" w:type="dxa"/>
          </w:tcPr>
          <w:p w:rsidR="00B34C78" w:rsidRPr="00C358AF" w:rsidRDefault="00B34C78" w:rsidP="00D12C65">
            <w:pPr>
              <w:jc w:val="both"/>
              <w:rPr>
                <w:rFonts w:ascii="Verdana" w:hAnsi="Verdana"/>
                <w:sz w:val="20"/>
                <w:szCs w:val="20"/>
              </w:rPr>
            </w:pPr>
            <w:r w:rsidRPr="00C358AF">
              <w:rPr>
                <w:rFonts w:ascii="Verdana" w:hAnsi="Verdana"/>
                <w:sz w:val="20"/>
                <w:szCs w:val="20"/>
              </w:rPr>
              <w:t>Bornes d’une puissance nominale supérieure à 4kW et inférieure ou égale à 22kW et/ou</w:t>
            </w:r>
          </w:p>
          <w:p w:rsidR="00B34C78" w:rsidRPr="00C358AF" w:rsidRDefault="00B34C78" w:rsidP="00D12C65">
            <w:pPr>
              <w:jc w:val="both"/>
              <w:rPr>
                <w:rFonts w:ascii="Verdana" w:hAnsi="Verdana"/>
                <w:sz w:val="20"/>
                <w:szCs w:val="20"/>
              </w:rPr>
            </w:pPr>
            <w:r w:rsidRPr="00C358AF">
              <w:rPr>
                <w:rFonts w:ascii="Verdana" w:hAnsi="Verdana"/>
                <w:sz w:val="20"/>
                <w:szCs w:val="20"/>
              </w:rPr>
              <w:t>Bornes d’une puissance nominale supérieure à 22 kW et inférieure ou égale à 50kW (1)</w:t>
            </w:r>
          </w:p>
        </w:tc>
        <w:tc>
          <w:tcPr>
            <w:tcW w:w="1594"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1</w:t>
            </w:r>
          </w:p>
        </w:tc>
        <w:tc>
          <w:tcPr>
            <w:tcW w:w="2122"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100</w:t>
            </w:r>
          </w:p>
        </w:tc>
        <w:tc>
          <w:tcPr>
            <w:tcW w:w="2122"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150.000 €</w:t>
            </w:r>
          </w:p>
        </w:tc>
      </w:tr>
      <w:tr w:rsidR="00B34C78" w:rsidRPr="00C358AF" w:rsidTr="00D12C65">
        <w:tc>
          <w:tcPr>
            <w:tcW w:w="4016" w:type="dxa"/>
          </w:tcPr>
          <w:p w:rsidR="00B34C78" w:rsidRPr="00C358AF" w:rsidRDefault="00B34C78" w:rsidP="00D12C65">
            <w:pPr>
              <w:jc w:val="both"/>
              <w:rPr>
                <w:rFonts w:ascii="Verdana" w:hAnsi="Verdana"/>
                <w:sz w:val="20"/>
                <w:szCs w:val="20"/>
              </w:rPr>
            </w:pPr>
            <w:r w:rsidRPr="00C358AF">
              <w:rPr>
                <w:rFonts w:ascii="Verdana" w:hAnsi="Verdana"/>
                <w:sz w:val="20"/>
                <w:szCs w:val="20"/>
              </w:rPr>
              <w:t>Bornes d’une puissance nominale supérieure à 4kW et inférieure ou égale à 22kW et/ou</w:t>
            </w:r>
          </w:p>
          <w:p w:rsidR="00B34C78" w:rsidRPr="00C358AF" w:rsidRDefault="00B34C78" w:rsidP="00D12C65">
            <w:pPr>
              <w:jc w:val="both"/>
              <w:rPr>
                <w:rFonts w:ascii="Verdana" w:hAnsi="Verdana"/>
                <w:sz w:val="20"/>
                <w:szCs w:val="20"/>
              </w:rPr>
            </w:pPr>
            <w:r w:rsidRPr="00C358AF">
              <w:rPr>
                <w:rFonts w:ascii="Verdana" w:hAnsi="Verdana"/>
                <w:sz w:val="20"/>
                <w:szCs w:val="20"/>
              </w:rPr>
              <w:t>Bornes d’une puissance nominale supérieure à 22 kW et inférieure ou égale à 50kW (1)</w:t>
            </w:r>
          </w:p>
        </w:tc>
        <w:tc>
          <w:tcPr>
            <w:tcW w:w="1594"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&gt;1 ou ville de plus de 50.000 habitants</w:t>
            </w:r>
          </w:p>
        </w:tc>
        <w:tc>
          <w:tcPr>
            <w:tcW w:w="2122"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100</w:t>
            </w:r>
          </w:p>
        </w:tc>
        <w:tc>
          <w:tcPr>
            <w:tcW w:w="2122"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500.000 €</w:t>
            </w:r>
          </w:p>
        </w:tc>
      </w:tr>
    </w:tbl>
    <w:p w:rsidR="00B34C78" w:rsidRPr="00C358AF" w:rsidRDefault="00B34C78" w:rsidP="00B34C78">
      <w:pPr>
        <w:widowControl w:val="0"/>
        <w:numPr>
          <w:ilvl w:val="0"/>
          <w:numId w:val="2"/>
        </w:numPr>
        <w:suppressAutoHyphens/>
        <w:jc w:val="both"/>
        <w:rPr>
          <w:rFonts w:ascii="Verdana" w:hAnsi="Verdana" w:cs="Verdana"/>
          <w:sz w:val="20"/>
          <w:szCs w:val="20"/>
        </w:rPr>
      </w:pPr>
      <w:r w:rsidRPr="00C358AF">
        <w:rPr>
          <w:rFonts w:ascii="Verdana" w:hAnsi="Verdana"/>
          <w:sz w:val="20"/>
          <w:szCs w:val="20"/>
        </w:rPr>
        <w:t xml:space="preserve">Les portefeuilles reprenant des bornes d’une puissance nominale inférieure ou égale à 4kW sont autorisés pour autant que ce type de bornes n’excède pas </w:t>
      </w:r>
      <w:r w:rsidRPr="00C358AF">
        <w:rPr>
          <w:rFonts w:ascii="Verdana" w:hAnsi="Verdana"/>
          <w:b/>
          <w:sz w:val="20"/>
          <w:szCs w:val="20"/>
        </w:rPr>
        <w:t>25%</w:t>
      </w:r>
      <w:r w:rsidRPr="00C358AF">
        <w:rPr>
          <w:rFonts w:ascii="Verdana" w:hAnsi="Verdana"/>
          <w:sz w:val="20"/>
          <w:szCs w:val="20"/>
        </w:rPr>
        <w:t xml:space="preserve"> de la valeur du portefeuille.</w:t>
      </w:r>
    </w:p>
    <w:p w:rsidR="00B34C78" w:rsidRPr="00C358AF" w:rsidRDefault="00B34C78" w:rsidP="00B34C78">
      <w:pPr>
        <w:jc w:val="both"/>
        <w:rPr>
          <w:rFonts w:ascii="Verdana" w:hAnsi="Verdana" w:cs="Verdana"/>
          <w:sz w:val="20"/>
          <w:szCs w:val="20"/>
        </w:rPr>
      </w:pPr>
    </w:p>
    <w:p w:rsidR="00B34C78" w:rsidRPr="00C358AF" w:rsidRDefault="00B34C78" w:rsidP="00B34C78">
      <w:pPr>
        <w:jc w:val="both"/>
        <w:rPr>
          <w:rFonts w:ascii="Verdana" w:hAnsi="Verdana" w:cs="Verdana"/>
          <w:sz w:val="20"/>
          <w:szCs w:val="20"/>
        </w:rPr>
      </w:pPr>
    </w:p>
    <w:p w:rsidR="00B34C78" w:rsidRPr="00C358AF" w:rsidRDefault="00B34C78" w:rsidP="00B34C78">
      <w:pPr>
        <w:jc w:val="both"/>
        <w:rPr>
          <w:rFonts w:ascii="Verdana" w:hAnsi="Verdana" w:cs="Verdana"/>
          <w:sz w:val="20"/>
          <w:szCs w:val="20"/>
        </w:rPr>
      </w:pPr>
    </w:p>
    <w:p w:rsidR="00B34C78" w:rsidRPr="00C358AF" w:rsidRDefault="00B34C78" w:rsidP="00B34C78">
      <w:pPr>
        <w:jc w:val="both"/>
        <w:rPr>
          <w:rFonts w:ascii="Verdana" w:hAnsi="Verdana" w:cs="Verdana"/>
          <w:sz w:val="20"/>
          <w:szCs w:val="20"/>
        </w:rPr>
      </w:pPr>
      <w:r w:rsidRPr="00C358AF">
        <w:rPr>
          <w:rFonts w:ascii="Verdana" w:hAnsi="Verdana" w:cs="Verdana"/>
          <w:sz w:val="20"/>
          <w:szCs w:val="20"/>
        </w:rPr>
        <w:t>Des installations de production d’énergie renouvelable alimentant directement et exclusivement des infrastructures de chargement ainsi que des tampons de stockage d’énergie électrique pourront également être soutenues :</w:t>
      </w:r>
    </w:p>
    <w:p w:rsidR="00B34C78" w:rsidRPr="00C358AF" w:rsidRDefault="00B34C78" w:rsidP="00B34C78">
      <w:pPr>
        <w:jc w:val="both"/>
        <w:rPr>
          <w:rFonts w:ascii="Verdana" w:hAnsi="Verdana"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1821"/>
        <w:gridCol w:w="2042"/>
        <w:gridCol w:w="2042"/>
      </w:tblGrid>
      <w:tr w:rsidR="00B34C78" w:rsidRPr="00C358AF" w:rsidTr="00D12C65">
        <w:tc>
          <w:tcPr>
            <w:tcW w:w="3749" w:type="dxa"/>
          </w:tcPr>
          <w:p w:rsidR="00B34C78" w:rsidRPr="00C358AF" w:rsidRDefault="00B34C78" w:rsidP="00D12C65">
            <w:pPr>
              <w:jc w:val="both"/>
              <w:rPr>
                <w:rFonts w:ascii="Verdana" w:hAnsi="Verdana" w:cs="Verdana"/>
                <w:b/>
                <w:sz w:val="20"/>
                <w:szCs w:val="20"/>
              </w:rPr>
            </w:pPr>
          </w:p>
        </w:tc>
        <w:tc>
          <w:tcPr>
            <w:tcW w:w="1927" w:type="dxa"/>
          </w:tcPr>
          <w:p w:rsidR="00B34C78" w:rsidRPr="00C358AF" w:rsidRDefault="00B34C78" w:rsidP="00D12C65">
            <w:pPr>
              <w:jc w:val="center"/>
              <w:rPr>
                <w:rFonts w:ascii="Verdana" w:hAnsi="Verdana" w:cs="Verdana"/>
                <w:b/>
                <w:sz w:val="20"/>
                <w:szCs w:val="20"/>
              </w:rPr>
            </w:pPr>
          </w:p>
        </w:tc>
        <w:tc>
          <w:tcPr>
            <w:tcW w:w="2089" w:type="dxa"/>
          </w:tcPr>
          <w:p w:rsidR="00B34C78" w:rsidRPr="00C358AF" w:rsidRDefault="00B34C78" w:rsidP="00D12C65">
            <w:pPr>
              <w:jc w:val="center"/>
              <w:rPr>
                <w:rFonts w:ascii="Verdana" w:hAnsi="Verdana" w:cs="Verdana"/>
                <w:b/>
                <w:sz w:val="20"/>
                <w:szCs w:val="20"/>
              </w:rPr>
            </w:pPr>
            <w:r w:rsidRPr="00C358AF">
              <w:rPr>
                <w:rFonts w:ascii="Verdana" w:hAnsi="Verdana" w:cs="Verdana"/>
                <w:b/>
                <w:sz w:val="20"/>
                <w:szCs w:val="20"/>
              </w:rPr>
              <w:t>Pourcentage d’intervention</w:t>
            </w:r>
          </w:p>
        </w:tc>
        <w:tc>
          <w:tcPr>
            <w:tcW w:w="2089" w:type="dxa"/>
          </w:tcPr>
          <w:p w:rsidR="00B34C78" w:rsidRPr="00C358AF" w:rsidRDefault="00B34C78" w:rsidP="00D12C65">
            <w:pPr>
              <w:jc w:val="center"/>
              <w:rPr>
                <w:rFonts w:ascii="Verdana" w:hAnsi="Verdana" w:cs="Verdana"/>
                <w:b/>
                <w:sz w:val="20"/>
                <w:szCs w:val="20"/>
              </w:rPr>
            </w:pPr>
            <w:r w:rsidRPr="00C358AF">
              <w:rPr>
                <w:rFonts w:ascii="Verdana" w:hAnsi="Verdana" w:cs="Verdana"/>
                <w:b/>
                <w:sz w:val="20"/>
                <w:szCs w:val="20"/>
              </w:rPr>
              <w:t>Montant maximum d’intervention par borne</w:t>
            </w:r>
          </w:p>
        </w:tc>
      </w:tr>
      <w:tr w:rsidR="00B34C78" w:rsidRPr="00C358AF" w:rsidTr="00D12C65">
        <w:trPr>
          <w:trHeight w:val="972"/>
        </w:trPr>
        <w:tc>
          <w:tcPr>
            <w:tcW w:w="3749" w:type="dxa"/>
          </w:tcPr>
          <w:p w:rsidR="00B34C78" w:rsidRPr="00C358AF" w:rsidRDefault="00B34C78" w:rsidP="00D12C65">
            <w:pPr>
              <w:jc w:val="both"/>
              <w:rPr>
                <w:rFonts w:ascii="Verdana" w:hAnsi="Verdana" w:cs="Verdana"/>
                <w:sz w:val="20"/>
                <w:szCs w:val="20"/>
              </w:rPr>
            </w:pPr>
            <w:r w:rsidRPr="00C358AF">
              <w:rPr>
                <w:rFonts w:ascii="Verdana" w:hAnsi="Verdana" w:cs="Verdana"/>
                <w:sz w:val="20"/>
                <w:szCs w:val="20"/>
              </w:rPr>
              <w:t xml:space="preserve">Installations de production d’énergie renouvelable pour </w:t>
            </w:r>
            <w:r w:rsidRPr="00C358AF">
              <w:rPr>
                <w:rFonts w:ascii="Verdana" w:hAnsi="Verdana"/>
                <w:sz w:val="20"/>
                <w:szCs w:val="20"/>
              </w:rPr>
              <w:t>bornes d’une puissance nominale inférieure ou égale à 4kW pour le chargement de vélos, speed-</w:t>
            </w:r>
            <w:proofErr w:type="spellStart"/>
            <w:r w:rsidRPr="00C358AF">
              <w:rPr>
                <w:rFonts w:ascii="Verdana" w:hAnsi="Verdana"/>
                <w:sz w:val="20"/>
                <w:szCs w:val="20"/>
              </w:rPr>
              <w:t>pedelecs</w:t>
            </w:r>
            <w:proofErr w:type="spellEnd"/>
            <w:r w:rsidRPr="00C358AF">
              <w:rPr>
                <w:rFonts w:ascii="Verdana" w:hAnsi="Verdana"/>
                <w:sz w:val="20"/>
                <w:szCs w:val="20"/>
              </w:rPr>
              <w:t xml:space="preserve"> ou véhicules légers </w:t>
            </w:r>
          </w:p>
        </w:tc>
        <w:tc>
          <w:tcPr>
            <w:tcW w:w="1927"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Production d’énergie</w:t>
            </w:r>
          </w:p>
        </w:tc>
        <w:tc>
          <w:tcPr>
            <w:tcW w:w="2089"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100</w:t>
            </w:r>
          </w:p>
        </w:tc>
        <w:tc>
          <w:tcPr>
            <w:tcW w:w="2089"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1000</w:t>
            </w:r>
          </w:p>
        </w:tc>
      </w:tr>
      <w:tr w:rsidR="00B34C78" w:rsidRPr="00C358AF" w:rsidTr="00D12C65">
        <w:trPr>
          <w:trHeight w:val="739"/>
        </w:trPr>
        <w:tc>
          <w:tcPr>
            <w:tcW w:w="3749" w:type="dxa"/>
          </w:tcPr>
          <w:p w:rsidR="00B34C78" w:rsidRPr="00C358AF" w:rsidRDefault="00B34C78" w:rsidP="00D12C65">
            <w:pPr>
              <w:jc w:val="both"/>
              <w:rPr>
                <w:rFonts w:ascii="Verdana" w:hAnsi="Verdana"/>
                <w:sz w:val="20"/>
                <w:szCs w:val="20"/>
              </w:rPr>
            </w:pPr>
            <w:r w:rsidRPr="00C358AF">
              <w:rPr>
                <w:rFonts w:ascii="Verdana" w:hAnsi="Verdana" w:cs="Verdana"/>
                <w:sz w:val="20"/>
                <w:szCs w:val="20"/>
              </w:rPr>
              <w:t xml:space="preserve">Installations de production d’énergie renouvelable </w:t>
            </w:r>
            <w:r w:rsidRPr="00C358AF">
              <w:rPr>
                <w:rFonts w:ascii="Verdana" w:hAnsi="Verdana"/>
                <w:sz w:val="20"/>
                <w:szCs w:val="20"/>
              </w:rPr>
              <w:t xml:space="preserve">pour bornes d’une puissance nominale supérieure à 4kW </w:t>
            </w:r>
          </w:p>
        </w:tc>
        <w:tc>
          <w:tcPr>
            <w:tcW w:w="1927"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Production d’énergie</w:t>
            </w:r>
          </w:p>
        </w:tc>
        <w:tc>
          <w:tcPr>
            <w:tcW w:w="2089"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100</w:t>
            </w:r>
          </w:p>
        </w:tc>
        <w:tc>
          <w:tcPr>
            <w:tcW w:w="2089" w:type="dxa"/>
          </w:tcPr>
          <w:p w:rsidR="00B34C78" w:rsidRPr="00C358AF" w:rsidRDefault="00B34C78" w:rsidP="00D12C65">
            <w:pPr>
              <w:jc w:val="center"/>
              <w:rPr>
                <w:rFonts w:ascii="Verdana" w:hAnsi="Verdana" w:cs="Verdana"/>
                <w:sz w:val="20"/>
                <w:szCs w:val="20"/>
              </w:rPr>
            </w:pPr>
            <w:r w:rsidRPr="00C358AF">
              <w:rPr>
                <w:rFonts w:ascii="Verdana" w:hAnsi="Verdana" w:cs="Verdana"/>
                <w:sz w:val="20"/>
                <w:szCs w:val="20"/>
              </w:rPr>
              <w:t>5000</w:t>
            </w:r>
          </w:p>
        </w:tc>
      </w:tr>
    </w:tbl>
    <w:p w:rsidR="00B34C78" w:rsidRPr="00C358AF" w:rsidRDefault="00B34C78" w:rsidP="00B34C78">
      <w:pPr>
        <w:jc w:val="both"/>
        <w:rPr>
          <w:rFonts w:ascii="Verdana" w:hAnsi="Verdana" w:cs="Verdana"/>
          <w:sz w:val="20"/>
          <w:szCs w:val="20"/>
        </w:rPr>
      </w:pPr>
    </w:p>
    <w:p w:rsidR="00B34C78" w:rsidRPr="00C358AF" w:rsidRDefault="00B34C78" w:rsidP="00B34C78">
      <w:pPr>
        <w:jc w:val="both"/>
        <w:rPr>
          <w:rFonts w:ascii="Verdana" w:hAnsi="Verdana"/>
          <w:sz w:val="20"/>
          <w:szCs w:val="20"/>
        </w:rPr>
      </w:pPr>
    </w:p>
    <w:p w:rsidR="00B34C78" w:rsidRPr="00C358AF" w:rsidRDefault="00B34C78" w:rsidP="00B34C78">
      <w:pPr>
        <w:jc w:val="both"/>
        <w:rPr>
          <w:rFonts w:ascii="Verdana" w:hAnsi="Verdana"/>
          <w:b/>
          <w:sz w:val="20"/>
          <w:szCs w:val="20"/>
          <w:u w:val="single"/>
        </w:rPr>
      </w:pPr>
      <w:r w:rsidRPr="00C358AF">
        <w:rPr>
          <w:rFonts w:ascii="Verdana" w:hAnsi="Verdana"/>
          <w:b/>
          <w:sz w:val="20"/>
          <w:szCs w:val="20"/>
          <w:u w:val="single"/>
        </w:rPr>
        <w:t>Eligibilité</w:t>
      </w:r>
    </w:p>
    <w:p w:rsidR="00B34C78" w:rsidRPr="00C358AF" w:rsidRDefault="00B34C78" w:rsidP="00B34C78">
      <w:pPr>
        <w:jc w:val="both"/>
        <w:rPr>
          <w:rFonts w:ascii="Verdana" w:hAnsi="Verdana"/>
          <w:sz w:val="20"/>
          <w:szCs w:val="20"/>
        </w:rPr>
      </w:pPr>
    </w:p>
    <w:p w:rsidR="00B34C78" w:rsidRPr="00C358AF" w:rsidRDefault="00B34C78" w:rsidP="00B34C78">
      <w:pPr>
        <w:jc w:val="both"/>
        <w:rPr>
          <w:rFonts w:ascii="Verdana" w:hAnsi="Verdana"/>
          <w:sz w:val="20"/>
          <w:szCs w:val="20"/>
        </w:rPr>
      </w:pPr>
      <w:r w:rsidRPr="00C358AF">
        <w:rPr>
          <w:rFonts w:ascii="Verdana" w:hAnsi="Verdana"/>
          <w:sz w:val="20"/>
          <w:szCs w:val="20"/>
        </w:rPr>
        <w:t xml:space="preserve">Les porteurs de projet seront des acteurs publics qu’ils soient des communes, des associations de commune (sous forme ou nom d’ASBL), de Provinces ou d’Intercommunales agissant pour compte de communes. Le porteur de projet devra pouvoir garantir la pérennité du projet. </w:t>
      </w:r>
    </w:p>
    <w:p w:rsidR="00B34C78" w:rsidRPr="00C358AF" w:rsidRDefault="00B34C78" w:rsidP="00B34C78">
      <w:pPr>
        <w:jc w:val="both"/>
        <w:rPr>
          <w:rFonts w:ascii="Verdana" w:hAnsi="Verdana"/>
          <w:sz w:val="20"/>
          <w:szCs w:val="20"/>
        </w:rPr>
      </w:pPr>
    </w:p>
    <w:p w:rsidR="00B34C78" w:rsidRPr="00C358AF" w:rsidRDefault="00B34C78" w:rsidP="00B34C78">
      <w:pPr>
        <w:jc w:val="both"/>
        <w:rPr>
          <w:rFonts w:ascii="Verdana" w:hAnsi="Verdana"/>
          <w:b/>
          <w:sz w:val="20"/>
          <w:szCs w:val="20"/>
          <w:u w:val="single"/>
        </w:rPr>
      </w:pPr>
      <w:r w:rsidRPr="00C358AF">
        <w:rPr>
          <w:rFonts w:ascii="Verdana" w:hAnsi="Verdana"/>
          <w:b/>
          <w:sz w:val="20"/>
          <w:szCs w:val="20"/>
          <w:u w:val="single"/>
        </w:rPr>
        <w:t>Accessibilité des infrastructures</w:t>
      </w:r>
    </w:p>
    <w:p w:rsidR="00B34C78" w:rsidRPr="00C358AF" w:rsidRDefault="00B34C78" w:rsidP="00B34C78">
      <w:pPr>
        <w:jc w:val="both"/>
        <w:rPr>
          <w:rFonts w:ascii="Verdana" w:hAnsi="Verdana"/>
          <w:sz w:val="20"/>
          <w:szCs w:val="20"/>
        </w:rPr>
      </w:pPr>
    </w:p>
    <w:p w:rsidR="00B34C78" w:rsidRPr="00C358AF" w:rsidRDefault="00B34C78" w:rsidP="00B34C78">
      <w:pPr>
        <w:jc w:val="both"/>
        <w:rPr>
          <w:rFonts w:ascii="Verdana" w:hAnsi="Verdana"/>
          <w:sz w:val="20"/>
          <w:szCs w:val="20"/>
        </w:rPr>
      </w:pPr>
      <w:r w:rsidRPr="00C358AF">
        <w:rPr>
          <w:rFonts w:ascii="Verdana" w:hAnsi="Verdana"/>
          <w:sz w:val="20"/>
          <w:szCs w:val="20"/>
        </w:rPr>
        <w:t xml:space="preserve">Les porteurs de projet devront garantir un accès aux infrastructures sans contrainte particulière et de façon à les maximiser. </w:t>
      </w:r>
    </w:p>
    <w:p w:rsidR="00B34C78" w:rsidRPr="00C358AF" w:rsidRDefault="00B34C78" w:rsidP="00B34C78">
      <w:pPr>
        <w:jc w:val="both"/>
        <w:rPr>
          <w:rFonts w:ascii="Verdana" w:hAnsi="Verdana"/>
          <w:sz w:val="20"/>
          <w:szCs w:val="20"/>
        </w:rPr>
      </w:pPr>
    </w:p>
    <w:p w:rsidR="00B34C78" w:rsidRPr="00C358AF" w:rsidRDefault="00B34C78" w:rsidP="00B34C78">
      <w:pPr>
        <w:jc w:val="both"/>
        <w:rPr>
          <w:rFonts w:ascii="Verdana" w:hAnsi="Verdana"/>
          <w:sz w:val="20"/>
          <w:szCs w:val="20"/>
          <w:lang w:eastAsia="fr-BE"/>
        </w:rPr>
      </w:pPr>
      <w:r w:rsidRPr="00C358AF">
        <w:rPr>
          <w:rFonts w:ascii="Verdana" w:hAnsi="Verdana"/>
          <w:sz w:val="20"/>
          <w:szCs w:val="20"/>
        </w:rPr>
        <w:t>En ce qui concerne les bornes de chargement, l</w:t>
      </w:r>
      <w:r w:rsidRPr="00C358AF">
        <w:rPr>
          <w:rFonts w:ascii="Verdana" w:hAnsi="Verdana"/>
          <w:sz w:val="20"/>
          <w:szCs w:val="20"/>
          <w:lang w:eastAsia="fr-BE"/>
        </w:rPr>
        <w:t xml:space="preserve">es porteurs de projet doivent en garantir un accès 24 heures sur 24 et 7 jours sur 7. Cet accès, doit pouvoir se faire sans contrainte particulière et de façon à maximiser l’accès aux bornes de rechargement. Conformément à l’article 4, alinéa 9 de la Directive 2014/94/UE : « Tous les points de rechargement ouverts au public prévoient, en outre, la possibilité d'un rechargement ad hoc pour les utilisateurs de véhicules électriques sans souscription d'un contrat avec le fournisseur d'électricité ou l'exploitant concerné ». </w:t>
      </w:r>
    </w:p>
    <w:p w:rsidR="00B34C78" w:rsidRPr="00C358AF" w:rsidRDefault="00B34C78" w:rsidP="00B34C78">
      <w:pPr>
        <w:jc w:val="both"/>
        <w:rPr>
          <w:rFonts w:ascii="Verdana" w:hAnsi="Verdana"/>
          <w:sz w:val="20"/>
          <w:szCs w:val="20"/>
          <w:lang w:eastAsia="fr-BE"/>
        </w:rPr>
      </w:pPr>
    </w:p>
    <w:p w:rsidR="00B34C78" w:rsidRPr="00C358AF" w:rsidRDefault="00B34C78" w:rsidP="00B34C78">
      <w:pPr>
        <w:jc w:val="both"/>
        <w:rPr>
          <w:rFonts w:ascii="Verdana" w:hAnsi="Verdana"/>
          <w:sz w:val="20"/>
          <w:szCs w:val="20"/>
          <w:lang w:eastAsia="fr-BE"/>
        </w:rPr>
      </w:pPr>
      <w:r w:rsidRPr="00C358AF">
        <w:rPr>
          <w:rFonts w:ascii="Verdana" w:hAnsi="Verdana"/>
          <w:sz w:val="20"/>
          <w:szCs w:val="20"/>
          <w:lang w:eastAsia="fr-BE"/>
        </w:rPr>
        <w:t>Le mécanisme de vente de service de fourniture d’électricité devra être le plus universel possible en permettant le payement par abonnement fixe, par payement direct ou par utilisation d’autres abonnements préexistants.</w:t>
      </w:r>
    </w:p>
    <w:p w:rsidR="00B34C78" w:rsidRPr="00C358AF" w:rsidRDefault="00B34C78" w:rsidP="00B34C78">
      <w:pPr>
        <w:jc w:val="both"/>
        <w:rPr>
          <w:rFonts w:ascii="Verdana" w:hAnsi="Verdana"/>
          <w:sz w:val="20"/>
          <w:szCs w:val="20"/>
          <w:lang w:eastAsia="fr-BE"/>
        </w:rPr>
      </w:pPr>
    </w:p>
    <w:p w:rsidR="00B34C78" w:rsidRPr="00C358AF" w:rsidRDefault="00B34C78" w:rsidP="00B34C78">
      <w:pPr>
        <w:jc w:val="both"/>
        <w:rPr>
          <w:rFonts w:ascii="Verdana" w:hAnsi="Verdana"/>
          <w:sz w:val="20"/>
          <w:szCs w:val="20"/>
          <w:lang w:eastAsia="fr-BE"/>
        </w:rPr>
      </w:pPr>
      <w:r w:rsidRPr="00C358AF">
        <w:rPr>
          <w:rFonts w:ascii="Verdana" w:hAnsi="Verdana"/>
          <w:sz w:val="20"/>
          <w:szCs w:val="20"/>
          <w:lang w:eastAsia="fr-BE"/>
        </w:rPr>
        <w:t>Il sera également demandé que les emplacements visés aient un temps d’immobilisation limité pour chaque véhicule en cours de rechargement afin d’en permettre une optimisation de l’usage. Le projet devra explicitement spécifier les mesures envisagées afin de limiter le temps d’immobilisation.</w:t>
      </w:r>
    </w:p>
    <w:p w:rsidR="00B34C78" w:rsidRPr="00C358AF" w:rsidRDefault="00B34C78" w:rsidP="00B34C78">
      <w:pPr>
        <w:jc w:val="both"/>
        <w:rPr>
          <w:rFonts w:ascii="Verdana" w:hAnsi="Verdana"/>
          <w:sz w:val="20"/>
          <w:szCs w:val="20"/>
        </w:rPr>
      </w:pPr>
    </w:p>
    <w:p w:rsidR="00B34C78" w:rsidRPr="00C358AF" w:rsidRDefault="00B34C78" w:rsidP="00B34C78">
      <w:pPr>
        <w:jc w:val="both"/>
        <w:rPr>
          <w:rFonts w:ascii="Verdana" w:hAnsi="Verdana"/>
          <w:b/>
          <w:sz w:val="20"/>
          <w:szCs w:val="20"/>
          <w:u w:val="single"/>
        </w:rPr>
      </w:pPr>
      <w:r w:rsidRPr="00C358AF">
        <w:rPr>
          <w:rFonts w:ascii="Verdana" w:hAnsi="Verdana"/>
          <w:b/>
          <w:sz w:val="20"/>
          <w:szCs w:val="20"/>
          <w:u w:val="single"/>
        </w:rPr>
        <w:t>Zones géographiques</w:t>
      </w:r>
    </w:p>
    <w:p w:rsidR="00B34C78" w:rsidRPr="00C358AF" w:rsidRDefault="00B34C78" w:rsidP="00B34C78">
      <w:pPr>
        <w:jc w:val="both"/>
        <w:rPr>
          <w:rFonts w:ascii="Verdana" w:hAnsi="Verdana"/>
          <w:sz w:val="20"/>
          <w:szCs w:val="20"/>
        </w:rPr>
      </w:pPr>
    </w:p>
    <w:p w:rsidR="00B34C78" w:rsidRPr="00C358AF" w:rsidRDefault="00B34C78" w:rsidP="00B34C78">
      <w:pPr>
        <w:jc w:val="both"/>
        <w:rPr>
          <w:rFonts w:ascii="Verdana" w:hAnsi="Verdana"/>
          <w:sz w:val="20"/>
          <w:szCs w:val="20"/>
        </w:rPr>
      </w:pPr>
      <w:r w:rsidRPr="00C358AF">
        <w:rPr>
          <w:rFonts w:ascii="Verdana" w:hAnsi="Verdana"/>
          <w:sz w:val="20"/>
          <w:szCs w:val="20"/>
        </w:rPr>
        <w:t xml:space="preserve">Les porteurs de projet devront définir l’intégration de leur(s) projet(s) dans une stratégie globale liée tant aux besoins du territoire de référence que dans le cadre des enjeux liés à la mobilité. Par territoire de référence, il est entendu tant les zones urbaines, </w:t>
      </w:r>
      <w:proofErr w:type="spellStart"/>
      <w:r w:rsidRPr="00C358AF">
        <w:rPr>
          <w:rFonts w:ascii="Verdana" w:hAnsi="Verdana"/>
          <w:sz w:val="20"/>
          <w:szCs w:val="20"/>
        </w:rPr>
        <w:t>péri-</w:t>
      </w:r>
      <w:r w:rsidRPr="00C358AF">
        <w:rPr>
          <w:rFonts w:ascii="Verdana" w:hAnsi="Verdana"/>
          <w:sz w:val="20"/>
          <w:szCs w:val="20"/>
        </w:rPr>
        <w:lastRenderedPageBreak/>
        <w:t>urbaines</w:t>
      </w:r>
      <w:proofErr w:type="spellEnd"/>
      <w:r w:rsidRPr="00C358AF">
        <w:rPr>
          <w:rFonts w:ascii="Verdana" w:hAnsi="Verdana"/>
          <w:sz w:val="20"/>
          <w:szCs w:val="20"/>
        </w:rPr>
        <w:t xml:space="preserve">, les zones d’intérêt économiques que les zones rurales. Les infrastructures peuvent être envisagées tant sur le réseau routier structurant que le réseau non structurant. </w:t>
      </w:r>
    </w:p>
    <w:p w:rsidR="00B34C78" w:rsidRPr="00C358AF" w:rsidRDefault="00B34C78" w:rsidP="00B34C78">
      <w:pPr>
        <w:jc w:val="both"/>
        <w:rPr>
          <w:rFonts w:ascii="Verdana" w:hAnsi="Verdana"/>
          <w:sz w:val="20"/>
          <w:szCs w:val="20"/>
          <w:lang w:eastAsia="fr-BE"/>
        </w:rPr>
      </w:pPr>
    </w:p>
    <w:p w:rsidR="00B34C78" w:rsidRPr="00C358AF" w:rsidRDefault="00B34C78" w:rsidP="00B34C78">
      <w:pPr>
        <w:jc w:val="both"/>
        <w:rPr>
          <w:rFonts w:ascii="Verdana" w:hAnsi="Verdana"/>
          <w:sz w:val="20"/>
          <w:szCs w:val="20"/>
          <w:lang w:eastAsia="fr-BE"/>
        </w:rPr>
      </w:pPr>
      <w:r w:rsidRPr="00C358AF">
        <w:rPr>
          <w:rFonts w:ascii="Verdana" w:hAnsi="Verdana"/>
          <w:sz w:val="20"/>
          <w:szCs w:val="20"/>
          <w:lang w:eastAsia="fr-BE"/>
        </w:rPr>
        <w:t xml:space="preserve">En ce qui concerne les bornes, la stratégie spécifiée devra intégrer, parmi ses options, le principe du « charger </w:t>
      </w:r>
      <w:proofErr w:type="spellStart"/>
      <w:r w:rsidRPr="00C358AF">
        <w:rPr>
          <w:rFonts w:ascii="Verdana" w:hAnsi="Verdana"/>
          <w:sz w:val="20"/>
          <w:szCs w:val="20"/>
          <w:lang w:eastAsia="fr-BE"/>
        </w:rPr>
        <w:t>follows</w:t>
      </w:r>
      <w:proofErr w:type="spellEnd"/>
      <w:r w:rsidRPr="00C358AF">
        <w:rPr>
          <w:rFonts w:ascii="Verdana" w:hAnsi="Verdana"/>
          <w:sz w:val="20"/>
          <w:szCs w:val="20"/>
          <w:lang w:eastAsia="fr-BE"/>
        </w:rPr>
        <w:t xml:space="preserve"> cars » afin de couvrir en premier lieu les zones où la demande est actuellement la plus importante.</w:t>
      </w:r>
    </w:p>
    <w:p w:rsidR="00B34C78" w:rsidRPr="00C358AF" w:rsidRDefault="00B34C78" w:rsidP="00B34C78">
      <w:pPr>
        <w:jc w:val="both"/>
        <w:rPr>
          <w:rFonts w:ascii="Verdana" w:hAnsi="Verdana"/>
          <w:sz w:val="20"/>
          <w:szCs w:val="20"/>
        </w:rPr>
      </w:pPr>
      <w:r w:rsidRPr="00C358AF">
        <w:rPr>
          <w:rFonts w:ascii="Verdana" w:hAnsi="Verdana"/>
          <w:sz w:val="20"/>
          <w:szCs w:val="20"/>
        </w:rPr>
        <w:t xml:space="preserve"> </w:t>
      </w:r>
    </w:p>
    <w:p w:rsidR="00B34C78" w:rsidRPr="00C358AF" w:rsidRDefault="00B34C78" w:rsidP="00B34C78">
      <w:pPr>
        <w:jc w:val="both"/>
        <w:rPr>
          <w:rFonts w:ascii="Verdana" w:hAnsi="Verdana"/>
          <w:b/>
          <w:sz w:val="20"/>
          <w:szCs w:val="20"/>
          <w:u w:val="single"/>
        </w:rPr>
      </w:pPr>
      <w:r w:rsidRPr="00C358AF">
        <w:rPr>
          <w:rFonts w:ascii="Verdana" w:hAnsi="Verdana"/>
          <w:b/>
          <w:sz w:val="20"/>
          <w:szCs w:val="20"/>
          <w:u w:val="single"/>
        </w:rPr>
        <w:t>Typologie des infrastructures</w:t>
      </w:r>
    </w:p>
    <w:p w:rsidR="00B34C78" w:rsidRPr="00C358AF" w:rsidRDefault="00B34C78" w:rsidP="00B34C78">
      <w:pPr>
        <w:ind w:left="720"/>
        <w:jc w:val="both"/>
        <w:rPr>
          <w:rFonts w:ascii="Verdana" w:hAnsi="Verdana"/>
          <w:sz w:val="20"/>
          <w:szCs w:val="20"/>
        </w:rPr>
      </w:pPr>
    </w:p>
    <w:p w:rsidR="00B34C78" w:rsidRPr="00C358AF" w:rsidRDefault="00B34C78" w:rsidP="00B34C78">
      <w:pPr>
        <w:jc w:val="both"/>
        <w:rPr>
          <w:rFonts w:ascii="Verdana" w:hAnsi="Verdana"/>
          <w:sz w:val="20"/>
          <w:szCs w:val="20"/>
        </w:rPr>
      </w:pPr>
      <w:r w:rsidRPr="00C358AF">
        <w:rPr>
          <w:rFonts w:ascii="Verdana" w:hAnsi="Verdana"/>
          <w:sz w:val="20"/>
          <w:szCs w:val="20"/>
        </w:rPr>
        <w:t>Les infrastructures devront être conformes aux dispositions sectorielles en la matière et aux prescrits de la Directive 2014/94/UE sur le déploiement d’une infrastructure en carburants alternatifs. Pour rappel, ces normes sont les suivantes :</w:t>
      </w:r>
    </w:p>
    <w:p w:rsidR="00B34C78" w:rsidRPr="00C358AF" w:rsidRDefault="00B34C78" w:rsidP="00B34C78">
      <w:pPr>
        <w:jc w:val="both"/>
        <w:rPr>
          <w:rFonts w:ascii="Verdana" w:hAnsi="Verdana"/>
          <w:sz w:val="20"/>
          <w:szCs w:val="20"/>
        </w:rPr>
      </w:pPr>
    </w:p>
    <w:p w:rsidR="00B34C78" w:rsidRPr="00C358AF" w:rsidRDefault="00B34C78" w:rsidP="00B34C78">
      <w:pPr>
        <w:numPr>
          <w:ilvl w:val="0"/>
          <w:numId w:val="3"/>
        </w:numPr>
        <w:jc w:val="both"/>
        <w:rPr>
          <w:rFonts w:ascii="Verdana" w:hAnsi="Verdana"/>
          <w:sz w:val="20"/>
          <w:szCs w:val="20"/>
          <w:lang w:eastAsia="fr-BE"/>
        </w:rPr>
      </w:pPr>
      <w:r w:rsidRPr="00C358AF">
        <w:rPr>
          <w:rFonts w:ascii="Verdana" w:hAnsi="Verdana"/>
          <w:sz w:val="20"/>
          <w:szCs w:val="20"/>
          <w:lang w:eastAsia="fr-BE"/>
        </w:rPr>
        <w:t>EN62196-2 Points de recharge électrique normaux pour véhicules à moteur ou pour les points de recharge à haute puissance en courant alternatif (CA)</w:t>
      </w:r>
    </w:p>
    <w:p w:rsidR="00B34C78" w:rsidRPr="00C358AF" w:rsidRDefault="00B34C78" w:rsidP="00B34C78">
      <w:pPr>
        <w:numPr>
          <w:ilvl w:val="0"/>
          <w:numId w:val="3"/>
        </w:numPr>
        <w:jc w:val="both"/>
        <w:rPr>
          <w:rFonts w:ascii="Verdana" w:hAnsi="Verdana"/>
          <w:sz w:val="20"/>
          <w:szCs w:val="20"/>
        </w:rPr>
      </w:pPr>
      <w:r w:rsidRPr="00C358AF">
        <w:rPr>
          <w:rFonts w:ascii="Verdana" w:hAnsi="Verdana"/>
          <w:sz w:val="20"/>
          <w:szCs w:val="20"/>
          <w:lang w:eastAsia="fr-BE"/>
        </w:rPr>
        <w:t>EN62196-3 Points de recharge à haute puissance en courant continu (CC)</w:t>
      </w:r>
    </w:p>
    <w:p w:rsidR="00B34C78" w:rsidRPr="00C358AF" w:rsidRDefault="00B34C78" w:rsidP="00B34C78">
      <w:pPr>
        <w:jc w:val="both"/>
        <w:rPr>
          <w:rFonts w:ascii="Verdana" w:hAnsi="Verdana"/>
          <w:vanish/>
          <w:sz w:val="20"/>
          <w:szCs w:val="20"/>
          <w:lang w:eastAsia="fr-BE"/>
        </w:rPr>
      </w:pPr>
    </w:p>
    <w:p w:rsidR="00B34C78" w:rsidRPr="00C358AF" w:rsidRDefault="00B34C78" w:rsidP="00B34C78">
      <w:pPr>
        <w:jc w:val="both"/>
        <w:rPr>
          <w:rFonts w:ascii="Verdana" w:hAnsi="Verdana"/>
          <w:sz w:val="20"/>
          <w:szCs w:val="20"/>
        </w:rPr>
      </w:pPr>
    </w:p>
    <w:p w:rsidR="00B34C78" w:rsidRPr="00C358AF" w:rsidRDefault="00B34C78" w:rsidP="00B34C78">
      <w:pPr>
        <w:jc w:val="both"/>
        <w:rPr>
          <w:rFonts w:ascii="Verdana" w:hAnsi="Verdana"/>
          <w:sz w:val="20"/>
          <w:szCs w:val="20"/>
        </w:rPr>
      </w:pPr>
      <w:r w:rsidRPr="00C358AF">
        <w:rPr>
          <w:rFonts w:ascii="Verdana" w:hAnsi="Verdana"/>
          <w:b/>
          <w:sz w:val="20"/>
          <w:szCs w:val="20"/>
          <w:u w:val="single"/>
        </w:rPr>
        <w:t>Mécanisme de remboursement de l’aide</w:t>
      </w:r>
    </w:p>
    <w:p w:rsidR="00B34C78" w:rsidRPr="00C358AF" w:rsidRDefault="00B34C78" w:rsidP="00B34C78">
      <w:pPr>
        <w:jc w:val="both"/>
        <w:rPr>
          <w:rFonts w:ascii="Verdana" w:hAnsi="Verdana"/>
          <w:sz w:val="20"/>
          <w:szCs w:val="20"/>
        </w:rPr>
      </w:pPr>
    </w:p>
    <w:p w:rsidR="00B34C78" w:rsidRPr="00C358AF" w:rsidRDefault="00B34C78" w:rsidP="00B34C78">
      <w:pPr>
        <w:jc w:val="both"/>
        <w:rPr>
          <w:rFonts w:ascii="Verdana" w:hAnsi="Verdana"/>
          <w:sz w:val="20"/>
          <w:szCs w:val="20"/>
        </w:rPr>
      </w:pPr>
      <w:r w:rsidRPr="00C358AF">
        <w:rPr>
          <w:rFonts w:ascii="Verdana" w:hAnsi="Verdana"/>
          <w:sz w:val="20"/>
          <w:szCs w:val="20"/>
        </w:rPr>
        <w:t xml:space="preserve">S’agissant d’un mécanisme de soutien par avance récupérable, un engagement inconditionnel sera demandé au porteur de projet. Un plan d’amortissement linéaire sera proposé par le porteur de projet et ensuite arrêté par le Gouvernement. Le porteur de projet pourra également proposer une période de remboursement prévue entre 5 et 10 ans (7 ans pour les bornes de chargement), afin de permettre au modèle économique de s’établir (les premières années étant généralement moins rentables que les dernières). </w:t>
      </w:r>
    </w:p>
    <w:p w:rsidR="00B34C78" w:rsidRPr="00C358AF" w:rsidRDefault="00B34C78" w:rsidP="00B34C78">
      <w:pPr>
        <w:jc w:val="both"/>
        <w:rPr>
          <w:rFonts w:ascii="Verdana" w:hAnsi="Verdana"/>
          <w:sz w:val="20"/>
          <w:szCs w:val="20"/>
        </w:rPr>
      </w:pPr>
    </w:p>
    <w:p w:rsidR="00B34C78" w:rsidRPr="00C358AF" w:rsidRDefault="00B34C78" w:rsidP="00B34C78">
      <w:pPr>
        <w:jc w:val="both"/>
        <w:rPr>
          <w:rFonts w:ascii="Verdana" w:hAnsi="Verdana"/>
          <w:sz w:val="20"/>
          <w:szCs w:val="20"/>
        </w:rPr>
      </w:pPr>
      <w:r w:rsidRPr="00C358AF">
        <w:rPr>
          <w:rFonts w:ascii="Verdana" w:hAnsi="Verdana"/>
          <w:sz w:val="20"/>
          <w:szCs w:val="20"/>
        </w:rPr>
        <w:t>Une formule de remboursement anticipé devra également être proposée par le porteur si la rentabilité s’avère proche des estimations théoriques.</w:t>
      </w:r>
    </w:p>
    <w:p w:rsidR="00B34C78" w:rsidRPr="00C358AF" w:rsidRDefault="00B34C78" w:rsidP="00B34C78">
      <w:pPr>
        <w:jc w:val="both"/>
        <w:rPr>
          <w:rFonts w:ascii="Verdana" w:hAnsi="Verdana"/>
          <w:sz w:val="20"/>
          <w:szCs w:val="20"/>
        </w:rPr>
      </w:pPr>
    </w:p>
    <w:p w:rsidR="00B34C78" w:rsidRPr="00C358AF" w:rsidRDefault="00B34C78" w:rsidP="00B34C78">
      <w:pPr>
        <w:jc w:val="both"/>
        <w:rPr>
          <w:rFonts w:ascii="Verdana" w:hAnsi="Verdana"/>
          <w:sz w:val="20"/>
          <w:szCs w:val="20"/>
        </w:rPr>
      </w:pPr>
      <w:r w:rsidRPr="00C358AF">
        <w:rPr>
          <w:rFonts w:ascii="Verdana" w:hAnsi="Verdana"/>
          <w:sz w:val="20"/>
          <w:szCs w:val="20"/>
        </w:rPr>
        <w:t xml:space="preserve">Un taux d’intérêt est fixé à </w:t>
      </w:r>
      <w:r w:rsidRPr="00C358AF">
        <w:rPr>
          <w:rFonts w:ascii="Verdana" w:hAnsi="Verdana"/>
          <w:b/>
          <w:sz w:val="20"/>
          <w:szCs w:val="20"/>
        </w:rPr>
        <w:t>0%</w:t>
      </w:r>
      <w:r w:rsidRPr="00C358AF">
        <w:rPr>
          <w:rFonts w:ascii="Verdana" w:hAnsi="Verdana"/>
          <w:sz w:val="20"/>
          <w:szCs w:val="20"/>
        </w:rPr>
        <w:t xml:space="preserve">. </w:t>
      </w:r>
    </w:p>
    <w:p w:rsidR="00B34C78" w:rsidRPr="00C358AF" w:rsidRDefault="00B34C78" w:rsidP="00B34C78">
      <w:pPr>
        <w:jc w:val="both"/>
        <w:rPr>
          <w:rFonts w:ascii="Verdana" w:hAnsi="Verdana"/>
          <w:sz w:val="20"/>
          <w:szCs w:val="20"/>
        </w:rPr>
      </w:pPr>
    </w:p>
    <w:p w:rsidR="00B34C78" w:rsidRPr="00C358AF" w:rsidRDefault="00B34C78" w:rsidP="00B34C78">
      <w:pPr>
        <w:jc w:val="both"/>
        <w:rPr>
          <w:rFonts w:ascii="Verdana" w:hAnsi="Verdana"/>
          <w:sz w:val="20"/>
          <w:szCs w:val="20"/>
        </w:rPr>
      </w:pPr>
      <w:r w:rsidRPr="00C358AF">
        <w:rPr>
          <w:rFonts w:ascii="Verdana" w:hAnsi="Verdana"/>
          <w:b/>
          <w:sz w:val="20"/>
          <w:szCs w:val="20"/>
          <w:u w:val="single"/>
        </w:rPr>
        <w:t>Eligibilité des dépenses</w:t>
      </w:r>
    </w:p>
    <w:p w:rsidR="00B34C78" w:rsidRPr="00C358AF" w:rsidRDefault="00B34C78" w:rsidP="00B34C78">
      <w:pPr>
        <w:jc w:val="both"/>
        <w:rPr>
          <w:rFonts w:ascii="Verdana" w:hAnsi="Verdana"/>
          <w:b/>
          <w:sz w:val="20"/>
          <w:szCs w:val="20"/>
          <w:u w:val="single"/>
        </w:rPr>
      </w:pPr>
    </w:p>
    <w:p w:rsidR="00B34C78" w:rsidRPr="00C358AF" w:rsidRDefault="00B34C78" w:rsidP="00B34C78">
      <w:pPr>
        <w:jc w:val="both"/>
        <w:rPr>
          <w:rFonts w:ascii="Verdana" w:hAnsi="Verdana"/>
          <w:b/>
          <w:sz w:val="20"/>
          <w:szCs w:val="20"/>
          <w:u w:val="single"/>
        </w:rPr>
      </w:pPr>
      <w:r w:rsidRPr="00C358AF">
        <w:rPr>
          <w:rFonts w:ascii="Verdana" w:hAnsi="Verdana"/>
          <w:b/>
          <w:sz w:val="20"/>
          <w:szCs w:val="20"/>
          <w:u w:val="single"/>
        </w:rPr>
        <w:t>Pour les bornes de chargement</w:t>
      </w:r>
    </w:p>
    <w:p w:rsidR="00B34C78" w:rsidRPr="00C358AF" w:rsidRDefault="00B34C78" w:rsidP="00B34C78">
      <w:pPr>
        <w:jc w:val="both"/>
        <w:rPr>
          <w:rFonts w:ascii="Verdana" w:hAnsi="Verdana"/>
          <w:b/>
          <w:sz w:val="20"/>
          <w:szCs w:val="20"/>
          <w:u w:val="single"/>
        </w:rPr>
      </w:pPr>
    </w:p>
    <w:p w:rsidR="00B34C78" w:rsidRPr="00C358AF" w:rsidRDefault="00B34C78" w:rsidP="00B34C78">
      <w:pPr>
        <w:rPr>
          <w:rFonts w:ascii="Verdana" w:hAnsi="Verdana"/>
          <w:sz w:val="20"/>
          <w:szCs w:val="20"/>
          <w:lang w:eastAsia="fr-BE"/>
        </w:rPr>
      </w:pPr>
      <w:r w:rsidRPr="00C358AF">
        <w:rPr>
          <w:rFonts w:ascii="Verdana" w:hAnsi="Verdana"/>
          <w:sz w:val="20"/>
          <w:szCs w:val="20"/>
          <w:lang w:eastAsia="fr-BE"/>
        </w:rPr>
        <w:t>Sont éligibles au financement :</w:t>
      </w:r>
    </w:p>
    <w:p w:rsidR="00B34C78" w:rsidRPr="00C358AF" w:rsidRDefault="00B34C78" w:rsidP="00B34C78">
      <w:pPr>
        <w:numPr>
          <w:ilvl w:val="0"/>
          <w:numId w:val="1"/>
        </w:numPr>
        <w:rPr>
          <w:rFonts w:ascii="Verdana" w:hAnsi="Verdana"/>
          <w:sz w:val="20"/>
          <w:szCs w:val="20"/>
          <w:lang w:eastAsia="fr-BE"/>
        </w:rPr>
      </w:pPr>
      <w:r w:rsidRPr="00C358AF">
        <w:rPr>
          <w:rFonts w:ascii="Verdana" w:hAnsi="Verdana"/>
          <w:sz w:val="20"/>
          <w:szCs w:val="20"/>
          <w:lang w:eastAsia="fr-BE"/>
        </w:rPr>
        <w:t>les frais d'acquisition de matériel et de logiciel ;</w:t>
      </w:r>
    </w:p>
    <w:p w:rsidR="00B34C78" w:rsidRPr="00C358AF" w:rsidRDefault="00B34C78" w:rsidP="00B34C78">
      <w:pPr>
        <w:numPr>
          <w:ilvl w:val="0"/>
          <w:numId w:val="1"/>
        </w:numPr>
        <w:rPr>
          <w:rFonts w:ascii="Verdana" w:hAnsi="Verdana"/>
          <w:sz w:val="20"/>
          <w:szCs w:val="20"/>
          <w:lang w:eastAsia="fr-BE"/>
        </w:rPr>
      </w:pPr>
      <w:r w:rsidRPr="00C358AF">
        <w:rPr>
          <w:rFonts w:ascii="Verdana" w:hAnsi="Verdana"/>
          <w:sz w:val="20"/>
          <w:szCs w:val="20"/>
          <w:lang w:eastAsia="fr-BE"/>
        </w:rPr>
        <w:t>les frais de raccordement ;</w:t>
      </w:r>
    </w:p>
    <w:p w:rsidR="00B34C78" w:rsidRPr="00C358AF" w:rsidRDefault="00B34C78" w:rsidP="00B34C78">
      <w:pPr>
        <w:numPr>
          <w:ilvl w:val="0"/>
          <w:numId w:val="1"/>
        </w:numPr>
        <w:rPr>
          <w:rFonts w:ascii="Verdana" w:hAnsi="Verdana"/>
          <w:sz w:val="20"/>
          <w:szCs w:val="20"/>
          <w:lang w:eastAsia="fr-BE"/>
        </w:rPr>
      </w:pPr>
      <w:r w:rsidRPr="00C358AF">
        <w:rPr>
          <w:rFonts w:ascii="Verdana" w:hAnsi="Verdana"/>
          <w:sz w:val="20"/>
          <w:szCs w:val="20"/>
          <w:lang w:eastAsia="fr-BE"/>
        </w:rPr>
        <w:t>les frais de modification d'infrastructure.</w:t>
      </w:r>
    </w:p>
    <w:p w:rsidR="00B34C78" w:rsidRPr="00C358AF" w:rsidRDefault="00B34C78" w:rsidP="00B34C78">
      <w:pPr>
        <w:jc w:val="both"/>
        <w:rPr>
          <w:rFonts w:ascii="Verdana" w:hAnsi="Verdana"/>
          <w:b/>
          <w:sz w:val="20"/>
          <w:szCs w:val="20"/>
          <w:u w:val="single"/>
        </w:rPr>
      </w:pPr>
    </w:p>
    <w:p w:rsidR="00B34C78" w:rsidRPr="00C358AF" w:rsidRDefault="00B34C78" w:rsidP="00B34C78">
      <w:pPr>
        <w:pStyle w:val="Paragraphedeliste"/>
        <w:ind w:left="0"/>
        <w:jc w:val="both"/>
        <w:rPr>
          <w:rFonts w:ascii="Verdana" w:hAnsi="Verdana"/>
          <w:b/>
          <w:sz w:val="20"/>
          <w:szCs w:val="20"/>
          <w:u w:val="single"/>
          <w:lang w:val="fr-BE"/>
        </w:rPr>
      </w:pPr>
      <w:r w:rsidRPr="00C358AF">
        <w:rPr>
          <w:rFonts w:ascii="Verdana" w:hAnsi="Verdana"/>
          <w:b/>
          <w:sz w:val="20"/>
          <w:szCs w:val="20"/>
          <w:u w:val="single"/>
        </w:rPr>
        <w:t xml:space="preserve">Pour les </w:t>
      </w:r>
      <w:r w:rsidRPr="00C358AF">
        <w:rPr>
          <w:rFonts w:ascii="Verdana" w:hAnsi="Verdana"/>
          <w:b/>
          <w:sz w:val="20"/>
          <w:szCs w:val="20"/>
          <w:u w:val="single"/>
          <w:lang w:val="fr-BE"/>
        </w:rPr>
        <w:t>installations produisant de l’électricité renouvelable</w:t>
      </w:r>
    </w:p>
    <w:p w:rsidR="00B34C78" w:rsidRPr="00C358AF" w:rsidRDefault="00B34C78" w:rsidP="00B34C78">
      <w:pPr>
        <w:jc w:val="both"/>
        <w:rPr>
          <w:rFonts w:ascii="Verdana" w:hAnsi="Verdana" w:cs="Verdana"/>
          <w:sz w:val="20"/>
          <w:szCs w:val="20"/>
        </w:rPr>
      </w:pPr>
    </w:p>
    <w:p w:rsidR="00B34C78" w:rsidRPr="00C358AF" w:rsidRDefault="00B34C78" w:rsidP="00B34C78">
      <w:pPr>
        <w:jc w:val="both"/>
        <w:rPr>
          <w:rFonts w:ascii="Verdana" w:hAnsi="Verdana" w:cs="Verdana"/>
          <w:sz w:val="20"/>
          <w:szCs w:val="20"/>
        </w:rPr>
      </w:pPr>
      <w:r w:rsidRPr="00C358AF">
        <w:rPr>
          <w:rFonts w:ascii="Verdana" w:hAnsi="Verdana" w:cs="Verdana"/>
          <w:sz w:val="20"/>
          <w:szCs w:val="20"/>
        </w:rPr>
        <w:t>Sont éligibles au financement :</w:t>
      </w:r>
    </w:p>
    <w:p w:rsidR="00B34C78" w:rsidRPr="00C358AF" w:rsidRDefault="00B34C78" w:rsidP="00B34C78">
      <w:pPr>
        <w:widowControl w:val="0"/>
        <w:numPr>
          <w:ilvl w:val="0"/>
          <w:numId w:val="1"/>
        </w:numPr>
        <w:suppressAutoHyphens/>
        <w:jc w:val="both"/>
        <w:rPr>
          <w:rFonts w:ascii="Verdana" w:hAnsi="Verdana" w:cs="Verdana"/>
          <w:sz w:val="20"/>
          <w:szCs w:val="20"/>
        </w:rPr>
      </w:pPr>
      <w:r w:rsidRPr="00C358AF">
        <w:rPr>
          <w:rFonts w:ascii="Verdana" w:hAnsi="Verdana" w:cs="Verdana"/>
          <w:sz w:val="20"/>
          <w:szCs w:val="20"/>
        </w:rPr>
        <w:t xml:space="preserve">la fourniture et les frais d’installation des infrastructures produisant de l’électricité à partir de sources d’énergie renouvelable </w:t>
      </w:r>
    </w:p>
    <w:p w:rsidR="00B34C78" w:rsidRPr="00C358AF" w:rsidRDefault="00B34C78" w:rsidP="00B34C78">
      <w:pPr>
        <w:widowControl w:val="0"/>
        <w:numPr>
          <w:ilvl w:val="0"/>
          <w:numId w:val="1"/>
        </w:numPr>
        <w:suppressAutoHyphens/>
        <w:jc w:val="both"/>
        <w:rPr>
          <w:rFonts w:ascii="Verdana" w:hAnsi="Verdana" w:cs="Verdana"/>
          <w:sz w:val="20"/>
          <w:szCs w:val="20"/>
        </w:rPr>
      </w:pPr>
      <w:r w:rsidRPr="00C358AF">
        <w:rPr>
          <w:rFonts w:ascii="Verdana" w:hAnsi="Verdana" w:cs="Verdana"/>
          <w:sz w:val="20"/>
          <w:szCs w:val="20"/>
        </w:rPr>
        <w:t>l’onduleur</w:t>
      </w:r>
    </w:p>
    <w:p w:rsidR="00B34C78" w:rsidRPr="00C358AF" w:rsidRDefault="00B34C78" w:rsidP="00B34C78">
      <w:pPr>
        <w:widowControl w:val="0"/>
        <w:numPr>
          <w:ilvl w:val="0"/>
          <w:numId w:val="1"/>
        </w:numPr>
        <w:suppressAutoHyphens/>
        <w:jc w:val="both"/>
        <w:rPr>
          <w:rFonts w:ascii="Verdana" w:hAnsi="Verdana" w:cs="Verdana"/>
          <w:sz w:val="20"/>
          <w:szCs w:val="20"/>
        </w:rPr>
      </w:pPr>
      <w:r w:rsidRPr="00C358AF">
        <w:rPr>
          <w:rFonts w:ascii="Verdana" w:hAnsi="Verdana" w:cs="Verdana"/>
          <w:sz w:val="20"/>
          <w:szCs w:val="20"/>
        </w:rPr>
        <w:t>tous les raccordements nécessaires.</w:t>
      </w:r>
    </w:p>
    <w:p w:rsidR="00B34C78" w:rsidRPr="00C358AF" w:rsidRDefault="00B34C78" w:rsidP="00B34C78">
      <w:pPr>
        <w:pStyle w:val="Paragraphedeliste"/>
        <w:ind w:left="0"/>
        <w:jc w:val="both"/>
        <w:rPr>
          <w:rFonts w:ascii="Verdana" w:hAnsi="Verdana" w:cs="Verdana"/>
          <w:sz w:val="20"/>
          <w:szCs w:val="20"/>
        </w:rPr>
      </w:pPr>
    </w:p>
    <w:p w:rsidR="00B34C78" w:rsidRPr="00C358AF" w:rsidRDefault="00B34C78" w:rsidP="00B34C78">
      <w:pPr>
        <w:jc w:val="both"/>
        <w:rPr>
          <w:rFonts w:ascii="Verdana" w:hAnsi="Verdana"/>
          <w:b/>
          <w:sz w:val="20"/>
          <w:szCs w:val="20"/>
          <w:u w:val="single"/>
        </w:rPr>
      </w:pPr>
      <w:r w:rsidRPr="00C358AF">
        <w:rPr>
          <w:rFonts w:ascii="Verdana" w:hAnsi="Verdana"/>
          <w:b/>
          <w:sz w:val="20"/>
          <w:szCs w:val="20"/>
          <w:u w:val="single"/>
        </w:rPr>
        <w:t>Divers</w:t>
      </w:r>
    </w:p>
    <w:p w:rsidR="00B34C78" w:rsidRPr="00C358AF" w:rsidRDefault="00B34C78" w:rsidP="00B34C78">
      <w:pPr>
        <w:jc w:val="both"/>
        <w:rPr>
          <w:rFonts w:ascii="Calibri" w:hAnsi="Calibri"/>
          <w:sz w:val="20"/>
          <w:szCs w:val="20"/>
        </w:rPr>
      </w:pPr>
    </w:p>
    <w:p w:rsidR="00B34C78" w:rsidRPr="00C358AF" w:rsidRDefault="00B34C78" w:rsidP="00B34C78">
      <w:pPr>
        <w:pStyle w:val="Paragraphedeliste"/>
        <w:spacing w:after="200" w:line="276" w:lineRule="auto"/>
        <w:ind w:left="0"/>
        <w:contextualSpacing/>
        <w:jc w:val="both"/>
        <w:rPr>
          <w:rFonts w:ascii="Verdana" w:hAnsi="Verdana"/>
          <w:sz w:val="20"/>
          <w:szCs w:val="20"/>
          <w:lang w:val="fr-BE"/>
        </w:rPr>
      </w:pPr>
      <w:r w:rsidRPr="00C358AF">
        <w:rPr>
          <w:rFonts w:ascii="Verdana" w:hAnsi="Verdana"/>
          <w:sz w:val="20"/>
          <w:szCs w:val="20"/>
        </w:rPr>
        <w:t>En ce qui concerne l’infrastructure, le porteur de projet aura l’obligation de travailler en association avec le(s) GRD(s) de la zone.</w:t>
      </w:r>
    </w:p>
    <w:p w:rsidR="00B34C78" w:rsidRPr="00C358AF" w:rsidRDefault="00B34C78" w:rsidP="00B34C78">
      <w:pPr>
        <w:jc w:val="both"/>
        <w:rPr>
          <w:rFonts w:ascii="Verdana" w:hAnsi="Verdana"/>
          <w:sz w:val="20"/>
          <w:szCs w:val="20"/>
          <w:lang/>
        </w:rPr>
      </w:pPr>
    </w:p>
    <w:p w:rsidR="00B34C78" w:rsidRPr="00C358AF" w:rsidRDefault="00B34C78" w:rsidP="00B34C78">
      <w:pPr>
        <w:jc w:val="both"/>
        <w:rPr>
          <w:rFonts w:ascii="Verdana" w:hAnsi="Verdana"/>
          <w:sz w:val="20"/>
          <w:szCs w:val="20"/>
          <w:lang/>
        </w:rPr>
      </w:pPr>
    </w:p>
    <w:p w:rsidR="00B34C78" w:rsidRPr="00C358AF" w:rsidRDefault="00B34C78" w:rsidP="00B34C78">
      <w:pPr>
        <w:jc w:val="both"/>
        <w:rPr>
          <w:rFonts w:ascii="Verdana" w:hAnsi="Verdana"/>
          <w:sz w:val="20"/>
          <w:szCs w:val="20"/>
          <w:lang/>
        </w:rPr>
      </w:pPr>
    </w:p>
    <w:p w:rsidR="00B34C78" w:rsidRPr="00C358AF" w:rsidRDefault="00B34C78" w:rsidP="00B34C78">
      <w:pPr>
        <w:jc w:val="both"/>
        <w:rPr>
          <w:rFonts w:ascii="Verdana" w:hAnsi="Verdana"/>
          <w:b/>
          <w:sz w:val="20"/>
          <w:szCs w:val="20"/>
          <w:u w:val="single"/>
        </w:rPr>
      </w:pPr>
      <w:r w:rsidRPr="00C358AF">
        <w:rPr>
          <w:rFonts w:ascii="Verdana" w:hAnsi="Verdana"/>
          <w:b/>
          <w:sz w:val="20"/>
          <w:szCs w:val="20"/>
          <w:u w:val="single"/>
        </w:rPr>
        <w:lastRenderedPageBreak/>
        <w:t>Procédure de dépôt des offres</w:t>
      </w:r>
    </w:p>
    <w:p w:rsidR="00B34C78" w:rsidRPr="00C358AF" w:rsidRDefault="00B34C78" w:rsidP="00B34C78">
      <w:pPr>
        <w:ind w:left="720"/>
        <w:jc w:val="both"/>
        <w:rPr>
          <w:rFonts w:ascii="Verdana" w:hAnsi="Verdana"/>
          <w:b/>
          <w:sz w:val="20"/>
          <w:szCs w:val="20"/>
          <w:u w:val="single"/>
        </w:rPr>
      </w:pPr>
    </w:p>
    <w:p w:rsidR="00B34C78" w:rsidRPr="00C358AF" w:rsidRDefault="00B34C78" w:rsidP="00B34C78">
      <w:pPr>
        <w:autoSpaceDE w:val="0"/>
        <w:autoSpaceDN w:val="0"/>
        <w:adjustRightInd w:val="0"/>
        <w:spacing w:after="120" w:line="276" w:lineRule="auto"/>
        <w:jc w:val="both"/>
        <w:rPr>
          <w:rFonts w:ascii="Verdana" w:hAnsi="Verdana"/>
          <w:sz w:val="20"/>
          <w:szCs w:val="20"/>
        </w:rPr>
      </w:pPr>
      <w:r w:rsidRPr="00C358AF">
        <w:rPr>
          <w:rFonts w:ascii="Verdana" w:hAnsi="Verdana"/>
          <w:sz w:val="20"/>
          <w:szCs w:val="20"/>
        </w:rPr>
        <w:t xml:space="preserve">La date de dépôt est fixée au </w:t>
      </w:r>
      <w:r w:rsidRPr="00C358AF">
        <w:rPr>
          <w:rFonts w:ascii="Verdana" w:hAnsi="Verdana"/>
          <w:b/>
          <w:sz w:val="20"/>
          <w:szCs w:val="20"/>
        </w:rPr>
        <w:t>15 mai 2019</w:t>
      </w:r>
      <w:r w:rsidRPr="00C358AF">
        <w:rPr>
          <w:rFonts w:ascii="Verdana" w:hAnsi="Verdana"/>
          <w:sz w:val="20"/>
          <w:szCs w:val="20"/>
        </w:rPr>
        <w:t>.</w:t>
      </w:r>
    </w:p>
    <w:p w:rsidR="00B34C78" w:rsidRPr="00C358AF" w:rsidRDefault="00B34C78" w:rsidP="00B34C78">
      <w:pPr>
        <w:jc w:val="both"/>
        <w:rPr>
          <w:rFonts w:ascii="Verdana" w:hAnsi="Verdana"/>
          <w:b/>
          <w:sz w:val="20"/>
          <w:szCs w:val="20"/>
          <w:u w:val="single"/>
        </w:rPr>
      </w:pPr>
      <w:r w:rsidRPr="00C358AF">
        <w:rPr>
          <w:rFonts w:ascii="Verdana" w:hAnsi="Verdana"/>
          <w:b/>
          <w:sz w:val="20"/>
          <w:szCs w:val="20"/>
          <w:u w:val="single"/>
        </w:rPr>
        <w:t>Documents requis au dépôt définitif des offres</w:t>
      </w:r>
    </w:p>
    <w:p w:rsidR="00B34C78" w:rsidRPr="00C358AF" w:rsidRDefault="00B34C78" w:rsidP="00B34C78">
      <w:pPr>
        <w:jc w:val="both"/>
        <w:rPr>
          <w:rFonts w:ascii="Verdana" w:hAnsi="Verdana"/>
          <w:b/>
          <w:sz w:val="20"/>
          <w:szCs w:val="20"/>
          <w:u w:val="single"/>
        </w:rPr>
      </w:pPr>
    </w:p>
    <w:p w:rsidR="00B34C78" w:rsidRPr="00C358AF" w:rsidRDefault="00B34C78" w:rsidP="00B34C78">
      <w:pPr>
        <w:jc w:val="both"/>
        <w:rPr>
          <w:rFonts w:ascii="Verdana" w:hAnsi="Verdana"/>
          <w:sz w:val="20"/>
          <w:szCs w:val="20"/>
        </w:rPr>
      </w:pPr>
      <w:r w:rsidRPr="00C358AF">
        <w:rPr>
          <w:rFonts w:ascii="Verdana" w:hAnsi="Verdana"/>
          <w:b/>
          <w:sz w:val="20"/>
          <w:szCs w:val="20"/>
        </w:rPr>
        <w:t>Sous peine de nullité absolue de l’offre</w:t>
      </w:r>
      <w:r w:rsidRPr="00C358AF">
        <w:rPr>
          <w:rFonts w:ascii="Verdana" w:hAnsi="Verdana"/>
          <w:sz w:val="20"/>
          <w:szCs w:val="20"/>
        </w:rPr>
        <w:t>, les soumissionnaires devront remettre, joint au formulaire définitif, les documents suivants :</w:t>
      </w:r>
    </w:p>
    <w:p w:rsidR="00B34C78" w:rsidRPr="00C358AF" w:rsidRDefault="00B34C78" w:rsidP="00B34C78">
      <w:pPr>
        <w:jc w:val="both"/>
        <w:rPr>
          <w:rFonts w:ascii="Verdana" w:hAnsi="Verdana"/>
          <w:sz w:val="20"/>
          <w:szCs w:val="20"/>
        </w:rPr>
      </w:pPr>
    </w:p>
    <w:p w:rsidR="00B34C78" w:rsidRPr="00C358AF" w:rsidRDefault="00B34C78" w:rsidP="00B34C78">
      <w:pPr>
        <w:numPr>
          <w:ilvl w:val="0"/>
          <w:numId w:val="1"/>
        </w:numPr>
        <w:jc w:val="both"/>
        <w:rPr>
          <w:rFonts w:ascii="Verdana" w:hAnsi="Verdana"/>
          <w:sz w:val="20"/>
          <w:szCs w:val="20"/>
        </w:rPr>
      </w:pPr>
      <w:r w:rsidRPr="00C358AF">
        <w:rPr>
          <w:rFonts w:ascii="Verdana" w:hAnsi="Verdana"/>
          <w:sz w:val="20"/>
          <w:szCs w:val="20"/>
        </w:rPr>
        <w:t>Le plan de remboursement attendu ;</w:t>
      </w:r>
    </w:p>
    <w:p w:rsidR="00B34C78" w:rsidRPr="00C358AF" w:rsidRDefault="00B34C78" w:rsidP="00B34C78">
      <w:pPr>
        <w:numPr>
          <w:ilvl w:val="0"/>
          <w:numId w:val="1"/>
        </w:numPr>
        <w:jc w:val="both"/>
        <w:rPr>
          <w:rFonts w:ascii="Verdana" w:hAnsi="Verdana"/>
          <w:sz w:val="20"/>
          <w:szCs w:val="20"/>
        </w:rPr>
      </w:pPr>
      <w:r w:rsidRPr="00C358AF">
        <w:rPr>
          <w:rFonts w:ascii="Verdana" w:hAnsi="Verdana"/>
          <w:sz w:val="20"/>
          <w:szCs w:val="20"/>
        </w:rPr>
        <w:t>La notification du Conseil ou du Collège communal ou de toute autre instance légalement habilitée à valider ce type de projet ;</w:t>
      </w:r>
    </w:p>
    <w:p w:rsidR="00B34C78" w:rsidRPr="00C358AF" w:rsidRDefault="00B34C78" w:rsidP="00B34C78">
      <w:pPr>
        <w:numPr>
          <w:ilvl w:val="0"/>
          <w:numId w:val="1"/>
        </w:numPr>
        <w:jc w:val="both"/>
        <w:rPr>
          <w:rFonts w:ascii="Verdana" w:hAnsi="Verdana"/>
          <w:sz w:val="20"/>
          <w:szCs w:val="20"/>
        </w:rPr>
      </w:pPr>
      <w:r w:rsidRPr="00C358AF">
        <w:rPr>
          <w:rFonts w:ascii="Verdana" w:hAnsi="Verdana"/>
          <w:sz w:val="20"/>
          <w:szCs w:val="20"/>
        </w:rPr>
        <w:t>La procédure de désignation des prestataires envisagée. Pour les soumissionnaires publics déjà en possession d’un prestataire, tous les documents attestant du respect des procédures de désignation ou d’association dans le cadre du projet.</w:t>
      </w:r>
    </w:p>
    <w:p w:rsidR="00B34C78" w:rsidRPr="00C358AF" w:rsidRDefault="00B34C78" w:rsidP="00B34C78">
      <w:pPr>
        <w:jc w:val="both"/>
        <w:rPr>
          <w:rFonts w:ascii="Verdana" w:hAnsi="Verdana"/>
          <w:b/>
          <w:sz w:val="20"/>
          <w:szCs w:val="20"/>
          <w:u w:val="single"/>
        </w:rPr>
      </w:pPr>
    </w:p>
    <w:p w:rsidR="00B34C78" w:rsidRPr="00C358AF" w:rsidRDefault="00B34C78" w:rsidP="00B34C78">
      <w:pPr>
        <w:pStyle w:val="Paragraphedeliste"/>
        <w:ind w:left="0"/>
        <w:contextualSpacing/>
        <w:jc w:val="both"/>
        <w:rPr>
          <w:rFonts w:ascii="Verdana" w:hAnsi="Verdana"/>
          <w:b/>
          <w:sz w:val="20"/>
          <w:szCs w:val="20"/>
          <w:u w:val="single"/>
          <w:lang w:val="fr-BE"/>
        </w:rPr>
      </w:pPr>
      <w:r w:rsidRPr="00C358AF">
        <w:rPr>
          <w:rFonts w:ascii="Verdana" w:hAnsi="Verdana"/>
          <w:b/>
          <w:sz w:val="20"/>
          <w:szCs w:val="20"/>
          <w:u w:val="single"/>
          <w:lang w:val="fr-BE"/>
        </w:rPr>
        <w:t>Processus de sélection</w:t>
      </w:r>
    </w:p>
    <w:p w:rsidR="00B34C78" w:rsidRPr="00C358AF" w:rsidRDefault="00B34C78" w:rsidP="00B34C78">
      <w:pPr>
        <w:pStyle w:val="Paragraphedeliste"/>
        <w:ind w:left="0"/>
        <w:contextualSpacing/>
        <w:jc w:val="both"/>
        <w:rPr>
          <w:rFonts w:ascii="Verdana" w:hAnsi="Verdana"/>
          <w:sz w:val="20"/>
          <w:szCs w:val="20"/>
          <w:lang w:val="fr-BE"/>
        </w:rPr>
      </w:pPr>
    </w:p>
    <w:p w:rsidR="00B34C78" w:rsidRPr="00C358AF" w:rsidRDefault="00B34C78" w:rsidP="00B34C78">
      <w:pPr>
        <w:jc w:val="both"/>
        <w:rPr>
          <w:rFonts w:ascii="Verdana" w:hAnsi="Verdana"/>
          <w:noProof/>
          <w:sz w:val="20"/>
          <w:szCs w:val="20"/>
          <w:lang w:eastAsia="fr-BE"/>
        </w:rPr>
      </w:pPr>
      <w:r w:rsidRPr="00C358AF">
        <w:rPr>
          <w:rFonts w:ascii="Verdana" w:hAnsi="Verdana"/>
          <w:noProof/>
          <w:sz w:val="20"/>
          <w:szCs w:val="20"/>
          <w:lang w:eastAsia="fr-BE"/>
        </w:rPr>
        <w:t xml:space="preserve">La sélection définitive des projets par le Gouvernement se fera sur proposition du Ministre du Climat, après analyse de ceux-ci par le Département de l’Energie et du Bâtiment durable de la DGO4 en partenariat avec la DGO2 et l’Agence wallonne de l’Air et du Climat. </w:t>
      </w:r>
    </w:p>
    <w:p w:rsidR="00B34C78" w:rsidRPr="00C358AF" w:rsidRDefault="00B34C78" w:rsidP="00B34C78">
      <w:pPr>
        <w:pStyle w:val="Paragraphedeliste"/>
        <w:ind w:left="0"/>
        <w:jc w:val="both"/>
        <w:rPr>
          <w:rFonts w:ascii="Verdana" w:hAnsi="Verdana" w:cs="Verdana"/>
          <w:sz w:val="20"/>
          <w:szCs w:val="20"/>
          <w:lang w:val="fr-BE"/>
        </w:rPr>
      </w:pPr>
    </w:p>
    <w:p w:rsidR="00B34C78" w:rsidRPr="00C358AF" w:rsidRDefault="00B34C78" w:rsidP="00B34C78">
      <w:pPr>
        <w:pStyle w:val="Paragraphedeliste"/>
        <w:ind w:left="0"/>
        <w:jc w:val="both"/>
        <w:rPr>
          <w:rFonts w:ascii="Verdana" w:hAnsi="Verdana" w:cs="Verdana"/>
          <w:sz w:val="20"/>
          <w:szCs w:val="20"/>
          <w:lang w:val="fr-BE"/>
        </w:rPr>
      </w:pPr>
      <w:r w:rsidRPr="00C358AF">
        <w:rPr>
          <w:rFonts w:ascii="Verdana" w:hAnsi="Verdana" w:cs="Verdana"/>
          <w:sz w:val="20"/>
          <w:szCs w:val="20"/>
          <w:lang w:val="fr-BE"/>
        </w:rPr>
        <w:t>Outre les documents obligatoirement requis qui feront l’objet d’une analyse spécifique, l</w:t>
      </w:r>
      <w:r w:rsidRPr="00C358AF">
        <w:rPr>
          <w:rFonts w:ascii="Verdana" w:hAnsi="Verdana" w:cs="Verdana"/>
          <w:sz w:val="20"/>
          <w:szCs w:val="20"/>
        </w:rPr>
        <w:t>es projets seront évalués sur divers critères :</w:t>
      </w:r>
      <w:r w:rsidRPr="00C358AF">
        <w:rPr>
          <w:rFonts w:ascii="Verdana" w:hAnsi="Verdana" w:cs="Verdana"/>
          <w:sz w:val="20"/>
          <w:szCs w:val="20"/>
          <w:lang w:val="fr-BE"/>
        </w:rPr>
        <w:t xml:space="preserve"> </w:t>
      </w:r>
    </w:p>
    <w:p w:rsidR="00B34C78" w:rsidRPr="00C358AF" w:rsidRDefault="00B34C78" w:rsidP="00B34C78">
      <w:pPr>
        <w:pStyle w:val="Paragraphedeliste"/>
        <w:ind w:left="0"/>
        <w:jc w:val="both"/>
        <w:rPr>
          <w:rFonts w:ascii="Verdana" w:hAnsi="Verdana" w:cs="Verdana"/>
          <w:sz w:val="20"/>
          <w:szCs w:val="20"/>
        </w:rPr>
      </w:pPr>
    </w:p>
    <w:p w:rsidR="00B34C78" w:rsidRPr="00C358AF" w:rsidRDefault="00B34C78" w:rsidP="00B34C78">
      <w:pPr>
        <w:pStyle w:val="Paragraphedeliste"/>
        <w:ind w:left="0"/>
        <w:jc w:val="both"/>
        <w:rPr>
          <w:rFonts w:ascii="Verdana" w:hAnsi="Verdana" w:cs="Verdana"/>
          <w:sz w:val="20"/>
          <w:szCs w:val="20"/>
          <w:lang w:val="fr-BE"/>
        </w:rPr>
      </w:pPr>
      <w:r w:rsidRPr="00C358AF">
        <w:rPr>
          <w:rFonts w:ascii="Verdana" w:hAnsi="Verdana" w:cs="Verdana"/>
          <w:sz w:val="20"/>
          <w:szCs w:val="20"/>
        </w:rPr>
        <w:t xml:space="preserve">1- </w:t>
      </w:r>
      <w:r w:rsidRPr="00C358AF">
        <w:rPr>
          <w:rFonts w:ascii="Verdana" w:hAnsi="Verdana" w:cs="Verdana"/>
          <w:sz w:val="20"/>
          <w:szCs w:val="20"/>
          <w:lang w:val="fr-BE"/>
        </w:rPr>
        <w:t>Territoire</w:t>
      </w:r>
      <w:r w:rsidRPr="00C358AF">
        <w:rPr>
          <w:rFonts w:ascii="Verdana" w:hAnsi="Verdana" w:cs="Verdana"/>
          <w:sz w:val="20"/>
          <w:szCs w:val="20"/>
        </w:rPr>
        <w:t xml:space="preserve"> de référence : </w:t>
      </w:r>
      <w:r w:rsidRPr="00C358AF">
        <w:rPr>
          <w:rFonts w:ascii="Verdana" w:hAnsi="Verdana" w:cs="Verdana"/>
          <w:sz w:val="20"/>
          <w:szCs w:val="20"/>
          <w:lang w:val="fr-BE"/>
        </w:rPr>
        <w:t>25</w:t>
      </w:r>
      <w:r w:rsidRPr="00C358AF">
        <w:rPr>
          <w:rFonts w:ascii="Verdana" w:hAnsi="Verdana" w:cs="Verdana"/>
          <w:sz w:val="20"/>
          <w:szCs w:val="20"/>
        </w:rPr>
        <w:t xml:space="preserve"> points</w:t>
      </w:r>
      <w:r w:rsidRPr="00C358AF">
        <w:rPr>
          <w:rFonts w:ascii="Verdana" w:hAnsi="Verdana" w:cs="Verdana"/>
          <w:sz w:val="20"/>
          <w:szCs w:val="20"/>
          <w:lang w:val="fr-BE"/>
        </w:rPr>
        <w:t xml:space="preserve">. Afin de quantifier cet aspect, le proposant et/ou le consortium définira précisément le territoire sur lequel le déploiement sera effectué en précisant comment celui-ci a été défini. </w:t>
      </w:r>
      <w:r>
        <w:rPr>
          <w:rFonts w:ascii="Verdana" w:hAnsi="Verdana" w:cs="Verdana"/>
          <w:sz w:val="20"/>
          <w:szCs w:val="20"/>
          <w:lang w:val="fr-BE"/>
        </w:rPr>
        <w:t xml:space="preserve">L’attribution des points prendra en considération la manière dont a été prise en compte la stratégie régionale de mobilité et en particulier le lien avec les </w:t>
      </w:r>
      <w:proofErr w:type="spellStart"/>
      <w:r>
        <w:rPr>
          <w:rFonts w:ascii="Verdana" w:hAnsi="Verdana" w:cs="Verdana"/>
          <w:sz w:val="20"/>
          <w:szCs w:val="20"/>
          <w:lang w:val="fr-BE"/>
        </w:rPr>
        <w:t>mobipôles</w:t>
      </w:r>
      <w:proofErr w:type="spellEnd"/>
      <w:r>
        <w:rPr>
          <w:rFonts w:ascii="Verdana" w:hAnsi="Verdana" w:cs="Verdana"/>
          <w:sz w:val="20"/>
          <w:szCs w:val="20"/>
          <w:lang w:val="fr-BE"/>
        </w:rPr>
        <w:t xml:space="preserve"> et les </w:t>
      </w:r>
      <w:proofErr w:type="spellStart"/>
      <w:r>
        <w:rPr>
          <w:rFonts w:ascii="Verdana" w:hAnsi="Verdana" w:cs="Verdana"/>
          <w:sz w:val="20"/>
          <w:szCs w:val="20"/>
          <w:lang w:val="fr-BE"/>
        </w:rPr>
        <w:t>mobipoints</w:t>
      </w:r>
      <w:proofErr w:type="spellEnd"/>
      <w:r>
        <w:rPr>
          <w:rFonts w:ascii="Verdana" w:hAnsi="Verdana" w:cs="Verdana"/>
          <w:sz w:val="20"/>
          <w:szCs w:val="20"/>
          <w:lang w:val="fr-BE"/>
        </w:rPr>
        <w:t xml:space="preserve">. </w:t>
      </w:r>
    </w:p>
    <w:p w:rsidR="00B34C78" w:rsidRPr="00C358AF" w:rsidRDefault="00B34C78" w:rsidP="00B34C78">
      <w:pPr>
        <w:pStyle w:val="Paragraphedeliste"/>
        <w:ind w:left="0"/>
        <w:jc w:val="both"/>
        <w:rPr>
          <w:rFonts w:ascii="Verdana" w:hAnsi="Verdana" w:cs="Verdana"/>
          <w:sz w:val="20"/>
          <w:szCs w:val="20"/>
          <w:lang w:val="fr-BE"/>
        </w:rPr>
      </w:pPr>
      <w:r w:rsidRPr="00C358AF">
        <w:rPr>
          <w:rFonts w:ascii="Verdana" w:hAnsi="Verdana" w:cs="Verdana"/>
          <w:sz w:val="20"/>
          <w:szCs w:val="20"/>
          <w:lang w:val="fr-BE"/>
        </w:rPr>
        <w:t>2</w:t>
      </w:r>
      <w:r w:rsidRPr="00C358AF">
        <w:rPr>
          <w:rFonts w:ascii="Verdana" w:hAnsi="Verdana" w:cs="Verdana"/>
          <w:sz w:val="20"/>
          <w:szCs w:val="20"/>
        </w:rPr>
        <w:t>- Stratégie commerciale</w:t>
      </w:r>
      <w:r w:rsidRPr="00C358AF">
        <w:rPr>
          <w:rFonts w:ascii="Verdana" w:hAnsi="Verdana" w:cs="Verdana"/>
          <w:sz w:val="20"/>
          <w:szCs w:val="20"/>
          <w:lang w:val="fr-BE"/>
        </w:rPr>
        <w:t xml:space="preserve"> </w:t>
      </w:r>
      <w:r w:rsidRPr="00C358AF">
        <w:rPr>
          <w:rFonts w:ascii="Verdana" w:hAnsi="Verdana" w:cs="Verdana"/>
          <w:sz w:val="20"/>
          <w:szCs w:val="20"/>
        </w:rPr>
        <w:t xml:space="preserve">: </w:t>
      </w:r>
      <w:r w:rsidRPr="00C358AF">
        <w:rPr>
          <w:rFonts w:ascii="Verdana" w:hAnsi="Verdana" w:cs="Verdana"/>
          <w:sz w:val="20"/>
          <w:szCs w:val="20"/>
          <w:lang w:val="fr-BE"/>
        </w:rPr>
        <w:t>25</w:t>
      </w:r>
      <w:r w:rsidRPr="00C358AF">
        <w:rPr>
          <w:rFonts w:ascii="Verdana" w:hAnsi="Verdana" w:cs="Verdana"/>
          <w:sz w:val="20"/>
          <w:szCs w:val="20"/>
        </w:rPr>
        <w:t xml:space="preserve"> points</w:t>
      </w:r>
      <w:r w:rsidRPr="00C358AF">
        <w:rPr>
          <w:rFonts w:ascii="Verdana" w:hAnsi="Verdana" w:cs="Verdana"/>
          <w:sz w:val="20"/>
          <w:szCs w:val="20"/>
          <w:lang w:val="fr-BE"/>
        </w:rPr>
        <w:t>. Ce point vise spécifiquement à l’approche commerciale du service.</w:t>
      </w:r>
      <w:r>
        <w:rPr>
          <w:rFonts w:ascii="Verdana" w:hAnsi="Verdana" w:cs="Verdana"/>
          <w:sz w:val="20"/>
          <w:szCs w:val="20"/>
          <w:lang w:val="fr-BE"/>
        </w:rPr>
        <w:t xml:space="preserve"> La stratégie commerciale devra également être compatible avec la stratégie régionale de mobilité et porter une attention particulière à la question de la tarification intégrée.</w:t>
      </w:r>
    </w:p>
    <w:p w:rsidR="00B34C78" w:rsidRPr="00C358AF" w:rsidRDefault="00B34C78" w:rsidP="00B34C78">
      <w:pPr>
        <w:pStyle w:val="Paragraphedeliste"/>
        <w:ind w:left="0"/>
        <w:jc w:val="both"/>
        <w:rPr>
          <w:rFonts w:ascii="Verdana" w:hAnsi="Verdana" w:cs="Verdana"/>
          <w:sz w:val="20"/>
          <w:szCs w:val="20"/>
        </w:rPr>
      </w:pPr>
    </w:p>
    <w:p w:rsidR="00B34C78" w:rsidRPr="00C358AF" w:rsidRDefault="00B34C78" w:rsidP="00B34C78">
      <w:pPr>
        <w:pStyle w:val="Paragraphedeliste"/>
        <w:ind w:left="0"/>
        <w:jc w:val="both"/>
        <w:rPr>
          <w:rFonts w:ascii="Verdana" w:hAnsi="Verdana" w:cs="Verdana"/>
          <w:sz w:val="20"/>
          <w:szCs w:val="20"/>
        </w:rPr>
      </w:pPr>
      <w:r w:rsidRPr="00C358AF">
        <w:rPr>
          <w:rFonts w:ascii="Verdana" w:hAnsi="Verdana" w:cs="Verdana"/>
          <w:sz w:val="20"/>
          <w:szCs w:val="20"/>
        </w:rPr>
        <w:t>Les projets sélectionnés feront l'objet d'un arrêté de subventionnement précisant en détail les modalités contractuelles et budgétaires liées au projet.</w:t>
      </w:r>
    </w:p>
    <w:p w:rsidR="00B34C78" w:rsidRPr="00C358AF" w:rsidRDefault="00B34C78" w:rsidP="00B34C78">
      <w:pPr>
        <w:pStyle w:val="Paragraphedeliste"/>
        <w:ind w:left="0"/>
        <w:jc w:val="both"/>
        <w:rPr>
          <w:rFonts w:ascii="Verdana" w:hAnsi="Verdana" w:cs="Verdana"/>
          <w:sz w:val="20"/>
          <w:szCs w:val="20"/>
        </w:rPr>
      </w:pPr>
    </w:p>
    <w:p w:rsidR="00B34C78" w:rsidRPr="00C358AF" w:rsidRDefault="00B34C78" w:rsidP="00B34C78">
      <w:pPr>
        <w:pStyle w:val="Paragraphedeliste"/>
        <w:ind w:left="0"/>
        <w:contextualSpacing/>
        <w:jc w:val="both"/>
        <w:rPr>
          <w:rFonts w:ascii="Verdana" w:hAnsi="Verdana"/>
          <w:b/>
          <w:sz w:val="20"/>
          <w:szCs w:val="20"/>
          <w:u w:val="single"/>
          <w:lang w:val="fr-BE"/>
        </w:rPr>
      </w:pPr>
      <w:r w:rsidRPr="00C358AF">
        <w:rPr>
          <w:rFonts w:ascii="Verdana" w:hAnsi="Verdana"/>
          <w:b/>
          <w:sz w:val="20"/>
          <w:szCs w:val="20"/>
          <w:u w:val="single"/>
          <w:lang w:val="fr-BE"/>
        </w:rPr>
        <w:t>Autres</w:t>
      </w:r>
    </w:p>
    <w:p w:rsidR="00B34C78" w:rsidRPr="00C358AF" w:rsidRDefault="00B34C78" w:rsidP="00B34C78">
      <w:pPr>
        <w:pStyle w:val="Paragraphedeliste"/>
        <w:ind w:left="0"/>
        <w:jc w:val="both"/>
        <w:rPr>
          <w:rFonts w:ascii="Verdana" w:hAnsi="Verdana" w:cs="Verdana"/>
          <w:sz w:val="20"/>
          <w:szCs w:val="20"/>
        </w:rPr>
      </w:pPr>
    </w:p>
    <w:p w:rsidR="00B34C78" w:rsidRPr="00C358AF" w:rsidRDefault="00B34C78" w:rsidP="00B34C78">
      <w:pPr>
        <w:pStyle w:val="Paragraphedeliste"/>
        <w:ind w:left="0"/>
        <w:jc w:val="both"/>
        <w:rPr>
          <w:rFonts w:ascii="Verdana" w:hAnsi="Verdana" w:cs="Verdana"/>
          <w:sz w:val="20"/>
          <w:szCs w:val="20"/>
        </w:rPr>
      </w:pPr>
      <w:r w:rsidRPr="00C358AF">
        <w:rPr>
          <w:rFonts w:ascii="Verdana" w:hAnsi="Verdana" w:cs="Verdana"/>
          <w:sz w:val="20"/>
          <w:szCs w:val="20"/>
        </w:rPr>
        <w:t xml:space="preserve">Les pouvoirs publics dont les projets seront sélectionnés devront faire valider par l’administration leur cahier des charges avant publication.  </w:t>
      </w:r>
    </w:p>
    <w:p w:rsidR="00B34C78" w:rsidRPr="00C358AF" w:rsidRDefault="00B34C78" w:rsidP="00B34C78">
      <w:pPr>
        <w:jc w:val="both"/>
        <w:rPr>
          <w:rFonts w:ascii="Verdana" w:hAnsi="Verdana"/>
          <w:sz w:val="20"/>
          <w:szCs w:val="20"/>
        </w:rPr>
      </w:pPr>
    </w:p>
    <w:p w:rsidR="00A717FB" w:rsidRDefault="00A717FB" w:rsidP="00A717FB">
      <w:pPr>
        <w:jc w:val="both"/>
        <w:rPr>
          <w:rFonts w:ascii="Verdana" w:hAnsi="Verdana"/>
          <w:sz w:val="20"/>
          <w:szCs w:val="20"/>
        </w:rPr>
      </w:pPr>
    </w:p>
    <w:p w:rsidR="00A717FB" w:rsidRPr="00C10EF9" w:rsidRDefault="00A717FB" w:rsidP="00A717FB">
      <w:pPr>
        <w:pStyle w:val="Paragraphedeliste"/>
        <w:ind w:left="0"/>
        <w:jc w:val="both"/>
        <w:rPr>
          <w:rFonts w:ascii="Verdana" w:hAnsi="Verdana" w:cs="Verdana"/>
          <w:b/>
          <w:sz w:val="20"/>
          <w:szCs w:val="20"/>
          <w:u w:val="single"/>
        </w:rPr>
      </w:pPr>
      <w:r w:rsidRPr="00C10EF9">
        <w:rPr>
          <w:rFonts w:ascii="Verdana" w:hAnsi="Verdana" w:cs="Verdana"/>
          <w:b/>
          <w:sz w:val="20"/>
          <w:szCs w:val="20"/>
          <w:u w:val="single"/>
        </w:rPr>
        <w:t>Contact</w:t>
      </w:r>
    </w:p>
    <w:p w:rsidR="00A717FB" w:rsidRDefault="00A717FB" w:rsidP="00A717FB">
      <w:pPr>
        <w:pStyle w:val="Paragraphedeliste"/>
        <w:ind w:left="0"/>
        <w:jc w:val="both"/>
        <w:rPr>
          <w:rFonts w:ascii="Verdana" w:hAnsi="Verdana" w:cs="Verdana"/>
          <w:sz w:val="20"/>
          <w:szCs w:val="20"/>
        </w:rPr>
      </w:pPr>
    </w:p>
    <w:p w:rsidR="00A717FB" w:rsidRDefault="00A717FB" w:rsidP="00A717FB">
      <w:pPr>
        <w:pStyle w:val="Paragraphedeliste"/>
        <w:ind w:left="0"/>
        <w:jc w:val="both"/>
        <w:rPr>
          <w:rFonts w:ascii="Verdana" w:hAnsi="Verdana" w:cs="Verdana"/>
          <w:sz w:val="20"/>
          <w:szCs w:val="20"/>
        </w:rPr>
      </w:pPr>
      <w:r>
        <w:rPr>
          <w:rFonts w:ascii="Verdana" w:hAnsi="Verdana" w:cs="Verdana"/>
          <w:sz w:val="20"/>
          <w:szCs w:val="20"/>
        </w:rPr>
        <w:t>Tout contact peut être obtenu auprès de :</w:t>
      </w:r>
    </w:p>
    <w:p w:rsidR="00A717FB" w:rsidRDefault="00A717FB" w:rsidP="00A717FB">
      <w:pPr>
        <w:pStyle w:val="Paragraphedeliste"/>
        <w:ind w:left="0"/>
        <w:jc w:val="both"/>
        <w:rPr>
          <w:rFonts w:ascii="Verdana" w:hAnsi="Verdana" w:cs="Verdana"/>
          <w:sz w:val="20"/>
          <w:szCs w:val="20"/>
        </w:rPr>
      </w:pPr>
    </w:p>
    <w:p w:rsidR="00A717FB" w:rsidRDefault="00A717FB" w:rsidP="00A717FB">
      <w:pPr>
        <w:pStyle w:val="Paragraphedeliste"/>
        <w:ind w:left="0"/>
        <w:jc w:val="both"/>
        <w:rPr>
          <w:rFonts w:ascii="Verdana" w:hAnsi="Verdana" w:cs="Verdana"/>
          <w:sz w:val="20"/>
          <w:szCs w:val="20"/>
        </w:rPr>
      </w:pPr>
      <w:r>
        <w:rPr>
          <w:rFonts w:ascii="Verdana" w:hAnsi="Verdana" w:cs="Verdana"/>
          <w:sz w:val="20"/>
          <w:szCs w:val="20"/>
        </w:rPr>
        <w:t>Monsieur Pascal LEHANCE, Attaché</w:t>
      </w:r>
    </w:p>
    <w:p w:rsidR="00A717FB" w:rsidRDefault="00A717FB" w:rsidP="00A717FB">
      <w:pPr>
        <w:pStyle w:val="Paragraphedeliste"/>
        <w:ind w:left="0"/>
        <w:jc w:val="both"/>
        <w:rPr>
          <w:rFonts w:ascii="Verdana" w:hAnsi="Verdana" w:cs="Verdana"/>
          <w:sz w:val="20"/>
          <w:szCs w:val="20"/>
        </w:rPr>
      </w:pPr>
      <w:r>
        <w:rPr>
          <w:rFonts w:ascii="Verdana" w:hAnsi="Verdana" w:cs="Verdana"/>
          <w:sz w:val="20"/>
          <w:szCs w:val="20"/>
        </w:rPr>
        <w:t>DGO4 – Département de l’Energie et du Bâtiment durable</w:t>
      </w:r>
    </w:p>
    <w:p w:rsidR="00A717FB" w:rsidRDefault="00A717FB" w:rsidP="00A717FB">
      <w:pPr>
        <w:pStyle w:val="Paragraphedeliste"/>
        <w:ind w:left="0"/>
        <w:jc w:val="both"/>
        <w:rPr>
          <w:rFonts w:ascii="Verdana" w:hAnsi="Verdana" w:cs="Verdana"/>
          <w:sz w:val="20"/>
          <w:szCs w:val="20"/>
        </w:rPr>
      </w:pPr>
      <w:r>
        <w:rPr>
          <w:rFonts w:ascii="Verdana" w:hAnsi="Verdana" w:cs="Verdana"/>
          <w:sz w:val="20"/>
          <w:szCs w:val="20"/>
        </w:rPr>
        <w:t>Direction de la Promotion de l’Energie durable</w:t>
      </w:r>
    </w:p>
    <w:p w:rsidR="00A717FB" w:rsidRDefault="00A717FB" w:rsidP="00A717FB">
      <w:pPr>
        <w:pStyle w:val="Paragraphedeliste"/>
        <w:ind w:left="0"/>
        <w:jc w:val="both"/>
        <w:rPr>
          <w:rFonts w:ascii="Verdana" w:hAnsi="Verdana" w:cs="Verdana"/>
          <w:sz w:val="20"/>
          <w:szCs w:val="20"/>
        </w:rPr>
      </w:pPr>
      <w:r>
        <w:rPr>
          <w:rFonts w:ascii="Verdana" w:hAnsi="Verdana" w:cs="Verdana"/>
          <w:sz w:val="20"/>
          <w:szCs w:val="20"/>
        </w:rPr>
        <w:t>Rue des Brigades d’Irlande 1,</w:t>
      </w:r>
    </w:p>
    <w:p w:rsidR="00A717FB" w:rsidRDefault="00A717FB" w:rsidP="00A717FB">
      <w:pPr>
        <w:pStyle w:val="Paragraphedeliste"/>
        <w:ind w:left="0"/>
        <w:jc w:val="both"/>
        <w:rPr>
          <w:rFonts w:ascii="Verdana" w:hAnsi="Verdana" w:cs="Verdana"/>
          <w:sz w:val="20"/>
          <w:szCs w:val="20"/>
        </w:rPr>
      </w:pPr>
      <w:r>
        <w:rPr>
          <w:rFonts w:ascii="Verdana" w:hAnsi="Verdana" w:cs="Verdana"/>
          <w:sz w:val="20"/>
          <w:szCs w:val="20"/>
        </w:rPr>
        <w:t>5100</w:t>
      </w:r>
      <w:r>
        <w:rPr>
          <w:rFonts w:ascii="Verdana" w:hAnsi="Verdana" w:cs="Verdana"/>
          <w:sz w:val="20"/>
          <w:szCs w:val="20"/>
        </w:rPr>
        <w:tab/>
        <w:t>JAMBES</w:t>
      </w:r>
    </w:p>
    <w:p w:rsidR="00A717FB" w:rsidRDefault="00A717FB" w:rsidP="00A717FB">
      <w:pPr>
        <w:pStyle w:val="Paragraphedeliste"/>
        <w:ind w:left="0"/>
        <w:jc w:val="both"/>
        <w:rPr>
          <w:rFonts w:ascii="Verdana" w:hAnsi="Verdana" w:cs="Verdana"/>
          <w:sz w:val="20"/>
          <w:szCs w:val="20"/>
        </w:rPr>
      </w:pPr>
      <w:r>
        <w:rPr>
          <w:rFonts w:ascii="Verdana" w:hAnsi="Verdana" w:cs="Verdana"/>
          <w:sz w:val="20"/>
          <w:szCs w:val="20"/>
        </w:rPr>
        <w:t>Tél. : 081/48.63.32</w:t>
      </w:r>
    </w:p>
    <w:p w:rsidR="00A717FB" w:rsidRDefault="00A717FB" w:rsidP="00A717FB">
      <w:pPr>
        <w:pStyle w:val="Paragraphedeliste"/>
        <w:ind w:left="0"/>
        <w:jc w:val="both"/>
        <w:rPr>
          <w:rFonts w:ascii="Verdana" w:hAnsi="Verdana" w:cs="Verdana"/>
          <w:sz w:val="20"/>
          <w:szCs w:val="20"/>
        </w:rPr>
      </w:pPr>
      <w:r>
        <w:rPr>
          <w:rFonts w:ascii="Verdana" w:hAnsi="Verdana" w:cs="Verdana"/>
          <w:sz w:val="20"/>
          <w:szCs w:val="20"/>
        </w:rPr>
        <w:t xml:space="preserve">Courriel : </w:t>
      </w:r>
      <w:hyperlink r:id="rId5" w:history="1">
        <w:r w:rsidRPr="00422E52">
          <w:rPr>
            <w:rStyle w:val="Lienhypertexte"/>
            <w:rFonts w:ascii="Verdana" w:hAnsi="Verdana" w:cs="Verdana"/>
            <w:sz w:val="20"/>
            <w:szCs w:val="20"/>
            <w:lang w:val="fr-BE" w:eastAsia="hi-IN" w:bidi="hi-IN"/>
          </w:rPr>
          <w:t>pascal.lehance@spw.wallonie.be</w:t>
        </w:r>
      </w:hyperlink>
      <w:r>
        <w:rPr>
          <w:rFonts w:ascii="Verdana" w:hAnsi="Verdana" w:cs="Verdana"/>
          <w:sz w:val="20"/>
          <w:szCs w:val="20"/>
        </w:rPr>
        <w:t xml:space="preserve"> </w:t>
      </w:r>
    </w:p>
    <w:p w:rsidR="00B11B6C" w:rsidRDefault="00B11B6C" w:rsidP="00A717FB"/>
    <w:sectPr w:rsidR="00B11B6C" w:rsidSect="00B11B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557C9"/>
    <w:multiLevelType w:val="hybridMultilevel"/>
    <w:tmpl w:val="34AC34C2"/>
    <w:lvl w:ilvl="0" w:tplc="85C4121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495F1444"/>
    <w:multiLevelType w:val="hybridMultilevel"/>
    <w:tmpl w:val="6FF0AF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6FE90539"/>
    <w:multiLevelType w:val="hybridMultilevel"/>
    <w:tmpl w:val="635C4D86"/>
    <w:lvl w:ilvl="0" w:tplc="64AA6EB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27C6"/>
    <w:rsid w:val="00176998"/>
    <w:rsid w:val="001A0F4B"/>
    <w:rsid w:val="001C6DA7"/>
    <w:rsid w:val="004509EB"/>
    <w:rsid w:val="009D0BE5"/>
    <w:rsid w:val="00A717FB"/>
    <w:rsid w:val="00B11B6C"/>
    <w:rsid w:val="00B34C78"/>
    <w:rsid w:val="00B627C6"/>
    <w:rsid w:val="00BB1568"/>
    <w:rsid w:val="00EB16F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Arial"/>
        <w:sz w:val="21"/>
        <w:szCs w:val="24"/>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7FB"/>
    <w:pPr>
      <w:spacing w:after="0" w:line="240" w:lineRule="auto"/>
    </w:pPr>
    <w:rPr>
      <w:rFonts w:ascii="Times New Roman" w:eastAsia="Times New Roman" w:hAnsi="Times New Roman" w:cs="Times New Roman"/>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ettre d'introduction"/>
    <w:basedOn w:val="Normal"/>
    <w:link w:val="ParagraphedelisteCar"/>
    <w:uiPriority w:val="34"/>
    <w:qFormat/>
    <w:rsid w:val="00A717FB"/>
    <w:pPr>
      <w:ind w:left="708"/>
    </w:pPr>
  </w:style>
  <w:style w:type="character" w:customStyle="1" w:styleId="ParagraphedelisteCar">
    <w:name w:val="Paragraphe de liste Car"/>
    <w:aliases w:val="Lettre d'introduction Car"/>
    <w:link w:val="Paragraphedeliste"/>
    <w:uiPriority w:val="34"/>
    <w:rsid w:val="00A717FB"/>
    <w:rPr>
      <w:rFonts w:ascii="Times New Roman" w:eastAsia="Times New Roman" w:hAnsi="Times New Roman" w:cs="Times New Roman"/>
      <w:sz w:val="24"/>
      <w:lang w:val="fr-FR" w:eastAsia="fr-FR"/>
    </w:rPr>
  </w:style>
  <w:style w:type="character" w:styleId="Lienhypertexte">
    <w:name w:val="Hyperlink"/>
    <w:rsid w:val="00A717FB"/>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cal.lehance@spw.wallonie.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1424</Words>
  <Characters>7837</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128086</dc:creator>
  <cp:lastModifiedBy>128086</cp:lastModifiedBy>
  <cp:revision>2</cp:revision>
  <dcterms:created xsi:type="dcterms:W3CDTF">2019-03-19T16:10:00Z</dcterms:created>
  <dcterms:modified xsi:type="dcterms:W3CDTF">2019-03-19T16:10:00Z</dcterms:modified>
</cp:coreProperties>
</file>