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4FBB" w:rsidRDefault="00C54FBB" w14:paraId="430ACB5E" w14:textId="5681BADA"/>
    <w:p w:rsidRPr="004B0EE5" w:rsidR="004B0EE5" w:rsidP="004B0EE5" w:rsidRDefault="004B0EE5" w14:paraId="49EA18AF" w14:textId="4E03864F">
      <w:pPr>
        <w:jc w:val="center"/>
        <w:rPr>
          <w:sz w:val="48"/>
          <w:szCs w:val="48"/>
        </w:rPr>
      </w:pPr>
      <w:r w:rsidRPr="004B0EE5">
        <w:rPr>
          <w:sz w:val="48"/>
          <w:szCs w:val="48"/>
        </w:rPr>
        <w:t>Appel à Projet …</w:t>
      </w:r>
    </w:p>
    <w:p w:rsidRPr="004B0EE5" w:rsidR="004B0EE5" w:rsidP="004B0EE5" w:rsidRDefault="004B0EE5" w14:paraId="3E0A6968" w14:textId="78446B6C">
      <w:pPr>
        <w:jc w:val="center"/>
        <w:rPr>
          <w:sz w:val="40"/>
          <w:szCs w:val="40"/>
          <w:u w:val="single"/>
        </w:rPr>
      </w:pPr>
      <w:r w:rsidRPr="004B0EE5">
        <w:rPr>
          <w:sz w:val="40"/>
          <w:szCs w:val="40"/>
          <w:u w:val="single"/>
        </w:rPr>
        <w:t xml:space="preserve">DNSH (Do Not </w:t>
      </w:r>
      <w:proofErr w:type="spellStart"/>
      <w:r w:rsidRPr="004B0EE5">
        <w:rPr>
          <w:sz w:val="40"/>
          <w:szCs w:val="40"/>
          <w:u w:val="single"/>
        </w:rPr>
        <w:t>Significant</w:t>
      </w:r>
      <w:proofErr w:type="spellEnd"/>
      <w:r w:rsidRPr="004B0EE5">
        <w:rPr>
          <w:sz w:val="40"/>
          <w:szCs w:val="40"/>
          <w:u w:val="single"/>
        </w:rPr>
        <w:t xml:space="preserve"> </w:t>
      </w:r>
      <w:proofErr w:type="spellStart"/>
      <w:r w:rsidRPr="004B0EE5">
        <w:rPr>
          <w:sz w:val="40"/>
          <w:szCs w:val="40"/>
          <w:u w:val="single"/>
        </w:rPr>
        <w:t>Harm</w:t>
      </w:r>
      <w:proofErr w:type="spellEnd"/>
      <w:r w:rsidRPr="004B0EE5">
        <w:rPr>
          <w:sz w:val="40"/>
          <w:szCs w:val="40"/>
          <w:u w:val="single"/>
        </w:rPr>
        <w:t>)</w:t>
      </w:r>
    </w:p>
    <w:p w:rsidRPr="00FD3C6A" w:rsidR="004B0EE5" w:rsidP="004B0EE5" w:rsidRDefault="002B1ABC" w14:paraId="73DA0F8F" w14:textId="61B0ECF5">
      <w:pPr>
        <w:rPr>
          <w:sz w:val="24"/>
          <w:szCs w:val="24"/>
        </w:rPr>
      </w:pPr>
      <w:r>
        <w:rPr>
          <w:sz w:val="24"/>
          <w:szCs w:val="24"/>
        </w:rPr>
        <w:pict w14:anchorId="5B7F6438">
          <v:rect id="_x0000_i1025" style="width:0;height:1.5pt" o:hr="t" o:hrstd="t" o:hralign="center" fillcolor="#a0a0a0" stroked="f"/>
        </w:pict>
      </w:r>
    </w:p>
    <w:p w:rsidRPr="00FD3C6A" w:rsidR="00FD3C6A" w:rsidRDefault="00FD3C6A" w14:paraId="090C5718" w14:textId="3CC2DD48">
      <w:pPr>
        <w:rPr>
          <w:sz w:val="24"/>
          <w:szCs w:val="24"/>
          <w:u w:val="single"/>
        </w:rPr>
      </w:pPr>
      <w:r w:rsidRPr="00FD3C6A">
        <w:rPr>
          <w:sz w:val="24"/>
          <w:szCs w:val="24"/>
          <w:u w:val="single"/>
        </w:rPr>
        <w:t>Identification demandeur</w:t>
      </w:r>
    </w:p>
    <w:p w:rsidR="004B0EE5" w:rsidP="00FD3C6A" w:rsidRDefault="004B0EE5" w14:paraId="0FEA7908" w14:textId="1AAFF8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Dénomination : </w:t>
      </w:r>
    </w:p>
    <w:p w:rsidR="004B0EE5" w:rsidP="00FD3C6A" w:rsidRDefault="004B0EE5" w14:paraId="57E889C2" w14:textId="311EE04A">
      <w:pPr>
        <w:rPr>
          <w:sz w:val="24"/>
          <w:szCs w:val="24"/>
        </w:rPr>
      </w:pPr>
      <w:r>
        <w:rPr>
          <w:sz w:val="24"/>
          <w:szCs w:val="24"/>
        </w:rPr>
        <w:t xml:space="preserve">N° d’entreprise (BCE) : </w:t>
      </w:r>
    </w:p>
    <w:p w:rsidR="00FD3C6A" w:rsidRDefault="00FD3C6A" w14:paraId="088F330E" w14:textId="482CBE2E">
      <w:pPr>
        <w:rPr>
          <w:sz w:val="24"/>
          <w:szCs w:val="24"/>
          <w:u w:val="single"/>
        </w:rPr>
      </w:pPr>
      <w:r w:rsidRPr="00FD3C6A">
        <w:rPr>
          <w:sz w:val="24"/>
          <w:szCs w:val="24"/>
          <w:u w:val="single"/>
        </w:rPr>
        <w:t xml:space="preserve">Identification </w:t>
      </w:r>
      <w:r>
        <w:rPr>
          <w:sz w:val="24"/>
          <w:szCs w:val="24"/>
          <w:u w:val="single"/>
        </w:rPr>
        <w:t>du b</w:t>
      </w:r>
      <w:r w:rsidRPr="00FD3C6A">
        <w:rPr>
          <w:sz w:val="24"/>
          <w:szCs w:val="24"/>
          <w:u w:val="single"/>
        </w:rPr>
        <w:t>âtiment</w:t>
      </w:r>
      <w:r>
        <w:rPr>
          <w:sz w:val="24"/>
          <w:szCs w:val="24"/>
          <w:u w:val="single"/>
        </w:rPr>
        <w:t xml:space="preserve"> concerné</w:t>
      </w:r>
    </w:p>
    <w:p w:rsidR="00FD3C6A" w:rsidP="00FD3C6A" w:rsidRDefault="00FD3C6A" w14:paraId="7788BAF5" w14:textId="091B0366">
      <w:pPr>
        <w:spacing w:after="0"/>
        <w:rPr>
          <w:sz w:val="24"/>
          <w:szCs w:val="24"/>
        </w:rPr>
      </w:pPr>
      <w:r>
        <w:rPr>
          <w:sz w:val="24"/>
          <w:szCs w:val="24"/>
        </w:rPr>
        <w:t>Dénomination :</w:t>
      </w:r>
    </w:p>
    <w:p w:rsidR="00FD3C6A" w:rsidP="00FD3C6A" w:rsidRDefault="00FD3C6A" w14:paraId="6C5E16E6" w14:textId="781D35D9">
      <w:pPr>
        <w:spacing w:after="0"/>
        <w:rPr>
          <w:sz w:val="24"/>
          <w:szCs w:val="24"/>
        </w:rPr>
      </w:pPr>
      <w:r>
        <w:rPr>
          <w:sz w:val="24"/>
          <w:szCs w:val="24"/>
        </w:rPr>
        <w:t>Rue :</w:t>
      </w:r>
    </w:p>
    <w:p w:rsidR="00FD3C6A" w:rsidP="00FD3C6A" w:rsidRDefault="00FD3C6A" w14:paraId="13A7C789" w14:textId="6742154A">
      <w:pPr>
        <w:spacing w:after="0"/>
        <w:rPr>
          <w:sz w:val="24"/>
          <w:szCs w:val="24"/>
        </w:rPr>
      </w:pPr>
      <w:r>
        <w:rPr>
          <w:sz w:val="24"/>
          <w:szCs w:val="24"/>
        </w:rPr>
        <w:t>N°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Boîte :</w:t>
      </w:r>
    </w:p>
    <w:p w:rsidRPr="00FD3C6A" w:rsidR="00FD3C6A" w:rsidP="00FD3C6A" w:rsidRDefault="00FD3C6A" w14:paraId="0F43F086" w14:textId="6D37AC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Code postal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Localité :</w:t>
      </w:r>
    </w:p>
    <w:p w:rsidRPr="00FD3C6A" w:rsidR="00FD3C6A" w:rsidRDefault="002B1ABC" w14:paraId="61442D5C" w14:textId="72406930">
      <w:pPr>
        <w:rPr>
          <w:sz w:val="24"/>
          <w:szCs w:val="24"/>
          <w:u w:val="single"/>
        </w:rPr>
      </w:pPr>
      <w:r>
        <w:rPr>
          <w:sz w:val="24"/>
          <w:szCs w:val="24"/>
        </w:rPr>
        <w:pict w14:anchorId="2332E323">
          <v:rect id="_x0000_i1026" style="width:0;height:1.5pt" o:hr="t" o:hrstd="t" o:hralign="center" fillcolor="#a0a0a0" stroked="f"/>
        </w:pict>
      </w:r>
    </w:p>
    <w:p w:rsidR="00C5099C" w:rsidRDefault="00C1306E" w14:paraId="606E8547" w14:textId="7B5B1763">
      <w:pPr>
        <w:rPr>
          <w:sz w:val="24"/>
          <w:szCs w:val="24"/>
        </w:rPr>
      </w:pPr>
      <w:r>
        <w:rPr>
          <w:sz w:val="24"/>
          <w:szCs w:val="24"/>
        </w:rPr>
        <w:t>Dans le cadre du PNRR, l</w:t>
      </w:r>
      <w:r w:rsidRPr="00C1306E">
        <w:rPr>
          <w:sz w:val="24"/>
          <w:szCs w:val="24"/>
        </w:rPr>
        <w:t xml:space="preserve">es projets causant un préjudice important du point de vue de l’environnement seront exclus (application du principe DNSH – Do No </w:t>
      </w:r>
      <w:proofErr w:type="spellStart"/>
      <w:r w:rsidRPr="00C1306E">
        <w:rPr>
          <w:sz w:val="24"/>
          <w:szCs w:val="24"/>
        </w:rPr>
        <w:t>Significant</w:t>
      </w:r>
      <w:proofErr w:type="spellEnd"/>
      <w:r w:rsidRPr="00C1306E">
        <w:rPr>
          <w:sz w:val="24"/>
          <w:szCs w:val="24"/>
        </w:rPr>
        <w:t xml:space="preserve"> </w:t>
      </w:r>
      <w:proofErr w:type="spellStart"/>
      <w:r w:rsidRPr="00C1306E">
        <w:rPr>
          <w:sz w:val="24"/>
          <w:szCs w:val="24"/>
        </w:rPr>
        <w:t>Harm</w:t>
      </w:r>
      <w:proofErr w:type="spellEnd"/>
      <w:r w:rsidRPr="00C1306E">
        <w:rPr>
          <w:sz w:val="24"/>
          <w:szCs w:val="24"/>
        </w:rPr>
        <w:t xml:space="preserve"> ou « absence de préjudice important ») au sens de l’article 17 du règlement européen sur la taxonomie</w:t>
      </w:r>
      <w:r>
        <w:rPr>
          <w:sz w:val="24"/>
          <w:szCs w:val="24"/>
        </w:rPr>
        <w:t>.</w:t>
      </w:r>
      <w:r w:rsidR="00C5099C">
        <w:rPr>
          <w:sz w:val="24"/>
          <w:szCs w:val="24"/>
        </w:rPr>
        <w:t xml:space="preserve"> </w:t>
      </w:r>
      <w:r w:rsidR="00DC3D09">
        <w:rPr>
          <w:sz w:val="24"/>
          <w:szCs w:val="24"/>
        </w:rPr>
        <w:t>6 critères DNSH</w:t>
      </w:r>
      <w:r w:rsidR="00C5099C">
        <w:rPr>
          <w:sz w:val="24"/>
          <w:szCs w:val="24"/>
        </w:rPr>
        <w:t xml:space="preserve"> ont été</w:t>
      </w:r>
      <w:r w:rsidR="00DC3D09">
        <w:rPr>
          <w:sz w:val="24"/>
          <w:szCs w:val="24"/>
        </w:rPr>
        <w:t xml:space="preserve"> fixés par l’Europe</w:t>
      </w:r>
      <w:r w:rsidR="00C5099C">
        <w:rPr>
          <w:sz w:val="24"/>
          <w:szCs w:val="24"/>
        </w:rPr>
        <w:t>.</w:t>
      </w:r>
    </w:p>
    <w:p w:rsidR="00C5099C" w:rsidRDefault="00C5099C" w14:paraId="49A9F93A" w14:textId="3D280F4A">
      <w:pPr>
        <w:rPr>
          <w:sz w:val="24"/>
          <w:szCs w:val="24"/>
        </w:rPr>
      </w:pPr>
      <w:r w:rsidRPr="00C5099C">
        <w:rPr>
          <w:sz w:val="24"/>
          <w:szCs w:val="24"/>
        </w:rPr>
        <w:t xml:space="preserve">Via ce document, la Région Wallonne, s’assure, par l’évaluation de 2 des 6 critères DNSH, que l’ensemble des engagements pris auprès de l’Europe seront bien pris en compte au cours des différents projets sélectionnés. Dans les engagements pris par la Belgique vis-à-vis de l’Europe, il y a en effet celui de réduire les risques d’impacts négatifs sur les objectifs d’adaptation au changement climatique et de transition vers une économie circulaire. La manière dont chaque candidat va répondre à ce formulaire peut varier d’un projet à l’autre. </w:t>
      </w:r>
    </w:p>
    <w:p w:rsidR="004C2C82" w:rsidP="004C2C82" w:rsidRDefault="004C2C82" w14:paraId="4A20F4F2" w14:textId="0425F2A9">
      <w:pPr>
        <w:rPr>
          <w:sz w:val="24"/>
          <w:szCs w:val="24"/>
        </w:rPr>
      </w:pPr>
      <w:r w:rsidRPr="004C2C82">
        <w:rPr>
          <w:sz w:val="24"/>
          <w:szCs w:val="24"/>
        </w:rPr>
        <w:t>Attention !</w:t>
      </w:r>
      <w:r w:rsidRPr="004C2C82">
        <w:rPr>
          <w:sz w:val="24"/>
          <w:szCs w:val="24"/>
        </w:rPr>
        <w:t xml:space="preserve"> Le</w:t>
      </w:r>
      <w:r w:rsidRPr="004C2C82">
        <w:rPr>
          <w:sz w:val="24"/>
          <w:szCs w:val="24"/>
        </w:rPr>
        <w:t>s justifications doivent être spécifiques à l’appel à projets ! Avec application concrète au cours du projet. Les justifications, ou dit autrement les mesures mentionnées constituent des engagements sur lesquels lequel la région wallonne et/ou les candidats par rapport à leur contractant, pourront se reposer.</w:t>
      </w:r>
    </w:p>
    <w:p w:rsidRPr="004C2C82" w:rsidR="004C2C82" w:rsidP="004C2C82" w:rsidRDefault="004C2C82" w14:paraId="3EDB02DA" w14:textId="665B57E0">
      <w:pPr>
        <w:rPr>
          <w:sz w:val="24"/>
          <w:szCs w:val="24"/>
        </w:rPr>
      </w:pPr>
      <w:r w:rsidRPr="7DF092B5" w:rsidR="004C2C82">
        <w:rPr>
          <w:sz w:val="24"/>
          <w:szCs w:val="24"/>
        </w:rPr>
        <w:t xml:space="preserve">En cas de non mise en œuvre de ces mesures, la demande de subvention sera </w:t>
      </w:r>
      <w:r w:rsidRPr="7DF092B5" w:rsidR="001E3B8B">
        <w:rPr>
          <w:sz w:val="24"/>
          <w:szCs w:val="24"/>
        </w:rPr>
        <w:t>jugée irrecevable</w:t>
      </w:r>
      <w:r w:rsidRPr="7DF092B5" w:rsidR="001E3B8B">
        <w:rPr>
          <w:sz w:val="24"/>
          <w:szCs w:val="24"/>
        </w:rPr>
        <w:t xml:space="preserve"> et l’avance perçue devra être remboursée.</w:t>
      </w:r>
    </w:p>
    <w:p w:rsidR="004C2C82" w:rsidP="004C2C82" w:rsidRDefault="004C2C82" w14:paraId="010904F6" w14:textId="77777777">
      <w:pPr>
        <w:rPr>
          <w:rStyle w:val="Lienhypertexte"/>
          <w:sz w:val="24"/>
          <w:szCs w:val="24"/>
        </w:rPr>
      </w:pPr>
      <w:r w:rsidRPr="00817ECC">
        <w:rPr>
          <w:sz w:val="24"/>
          <w:szCs w:val="24"/>
        </w:rPr>
        <w:t>Pour plus d’informations :</w:t>
      </w:r>
      <w:r>
        <w:t xml:space="preserve"> </w:t>
      </w:r>
      <w:hyperlink w:history="1" r:id="rId6">
        <w:r w:rsidRPr="00D73FBD">
          <w:rPr>
            <w:rFonts w:ascii="Calibri" w:hAnsi="Calibri" w:eastAsia="Calibri" w:cs="Times New Roman"/>
            <w:color w:val="0563C1"/>
            <w:sz w:val="24"/>
            <w:szCs w:val="24"/>
            <w:u w:val="single"/>
            <w:lang w:val="fr-FR"/>
          </w:rPr>
          <w:t>https://eur-lex.europa.eu/legal-content/FR/TXT/PDF/?uri=CELEX:52021XC0218(01)&amp;from=EN</w:t>
        </w:r>
      </w:hyperlink>
    </w:p>
    <w:p w:rsidR="004C2C82" w:rsidRDefault="004C2C82" w14:paraId="44DF6B37" w14:textId="77777777">
      <w:pPr>
        <w:rPr>
          <w:sz w:val="24"/>
          <w:szCs w:val="24"/>
        </w:rPr>
      </w:pPr>
    </w:p>
    <w:p w:rsidR="004C2C82" w:rsidRDefault="004C2C82" w14:paraId="6DB2BDC7" w14:textId="77777777">
      <w:r>
        <w:br w:type="page"/>
      </w:r>
    </w:p>
    <w:tbl>
      <w:tblPr>
        <w:tblW w:w="89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4585"/>
      </w:tblGrid>
      <w:tr w:rsidRPr="003E71E6" w:rsidR="00C5099C" w:rsidTr="00C5099C" w14:paraId="60F7267A" w14:textId="77777777">
        <w:trPr>
          <w:trHeight w:val="31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73FBD" w:rsidR="00C5099C" w:rsidP="00FC09F1" w:rsidRDefault="00C5099C" w14:paraId="6D8CFFB5" w14:textId="47178E1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D73FBD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fr-FR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73FBD" w:rsidR="00C5099C" w:rsidP="00FC09F1" w:rsidRDefault="00C5099C" w14:paraId="553AA582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73FBD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Question</w:t>
            </w:r>
          </w:p>
        </w:tc>
        <w:tc>
          <w:tcPr>
            <w:tcW w:w="4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E71E6" w:rsidR="00C5099C" w:rsidP="00FC09F1" w:rsidRDefault="00C5099C" w14:paraId="169EB0F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E71E6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Justification</w:t>
            </w:r>
          </w:p>
        </w:tc>
      </w:tr>
      <w:tr w:rsidRPr="003E71E6" w:rsidR="00C5099C" w:rsidTr="00C5099C" w14:paraId="2A5BB1F5" w14:textId="77777777">
        <w:trPr>
          <w:trHeight w:val="31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73FBD" w:rsidR="00C5099C" w:rsidP="00FC09F1" w:rsidRDefault="00C5099C" w14:paraId="048C0C1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73FBD" w:rsidR="00C5099C" w:rsidP="00FC09F1" w:rsidRDefault="00C5099C" w14:paraId="0BB9565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D73FBD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fr-FR"/>
              </w:rPr>
              <w:t>Adaptation au changement climatique </w:t>
            </w:r>
          </w:p>
        </w:tc>
        <w:tc>
          <w:tcPr>
            <w:tcW w:w="45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E041D" w:rsidR="00C5099C" w:rsidP="00FC09F1" w:rsidRDefault="00C5099C" w14:paraId="6C84D008" w14:textId="77777777">
            <w:pPr>
              <w:rPr>
                <w:rFonts w:ascii="Calibri" w:hAnsi="Calibri" w:eastAsia="Times New Roman" w:cs="Calibri"/>
                <w:color w:val="4472C4" w:themeColor="accent1"/>
                <w:sz w:val="24"/>
                <w:szCs w:val="24"/>
                <w:lang w:eastAsia="fr-FR"/>
              </w:rPr>
            </w:pPr>
            <w:r w:rsidRPr="008E041D">
              <w:rPr>
                <w:rFonts w:ascii="Calibri" w:hAnsi="Calibri" w:eastAsia="Times New Roman" w:cs="Calibri"/>
                <w:color w:val="4472C4" w:themeColor="accent1"/>
                <w:sz w:val="24"/>
                <w:szCs w:val="24"/>
                <w:lang w:eastAsia="fr-FR"/>
              </w:rPr>
              <w:t>Exemples de possibles mesures de réduction de risque d’impact négatif sur l’adaptation au changement climatique :</w:t>
            </w:r>
          </w:p>
          <w:p w:rsidRPr="008E041D" w:rsidR="00C5099C" w:rsidP="00FC09F1" w:rsidRDefault="00C5099C" w14:paraId="3E2DABCE" w14:textId="75D277DE">
            <w:pPr>
              <w:rPr>
                <w:color w:val="4472C4" w:themeColor="accent1"/>
              </w:rPr>
            </w:pPr>
            <w:r w:rsidRPr="008E041D">
              <w:rPr>
                <w:color w:val="4472C4" w:themeColor="accent1"/>
              </w:rPr>
              <w:t>- Citez les meilleures techniques disponibles qui seront utilisées pour que le bâtiment réponde au mieux à de potentielles conditions climatiques extrêmes tels que</w:t>
            </w:r>
            <w:r>
              <w:rPr>
                <w:color w:val="4472C4" w:themeColor="accent1"/>
              </w:rPr>
              <w:t> :</w:t>
            </w:r>
          </w:p>
          <w:p w:rsidRPr="008E041D" w:rsidR="00C5099C" w:rsidP="00FC09F1" w:rsidRDefault="00C5099C" w14:paraId="7924E310" w14:textId="77777777">
            <w:pPr>
              <w:rPr>
                <w:color w:val="4472C4" w:themeColor="accent1"/>
              </w:rPr>
            </w:pPr>
            <w:r w:rsidRPr="008E041D">
              <w:rPr>
                <w:color w:val="4472C4" w:themeColor="accent1"/>
              </w:rPr>
              <w:t>* Utilisation de protection solaire extérieure (préciser le type)</w:t>
            </w:r>
          </w:p>
          <w:p w:rsidRPr="008E041D" w:rsidR="00C5099C" w:rsidP="00FC09F1" w:rsidRDefault="00C5099C" w14:paraId="1727C5DD" w14:textId="77777777">
            <w:pPr>
              <w:rPr>
                <w:color w:val="4472C4" w:themeColor="accent1"/>
              </w:rPr>
            </w:pPr>
            <w:r w:rsidRPr="008E041D">
              <w:rPr>
                <w:color w:val="4472C4" w:themeColor="accent1"/>
              </w:rPr>
              <w:t>* Utilisation de vitrage a faible facteur solaire (préciser la valeur)</w:t>
            </w:r>
          </w:p>
          <w:p w:rsidRPr="008E041D" w:rsidR="00C5099C" w:rsidP="00FC09F1" w:rsidRDefault="00C5099C" w14:paraId="6BDE7C3C" w14:textId="77777777">
            <w:pPr>
              <w:rPr>
                <w:color w:val="4472C4" w:themeColor="accent1"/>
              </w:rPr>
            </w:pPr>
            <w:r w:rsidRPr="008E041D">
              <w:rPr>
                <w:color w:val="4472C4" w:themeColor="accent1"/>
              </w:rPr>
              <w:t>* Utilisation de la ventilation en refroidissement nocturne via la régulation</w:t>
            </w:r>
          </w:p>
          <w:p w:rsidRPr="008E041D" w:rsidR="00C5099C" w:rsidP="00FC09F1" w:rsidRDefault="00C5099C" w14:paraId="5150F88A" w14:textId="77777777">
            <w:pPr>
              <w:rPr>
                <w:color w:val="4472C4" w:themeColor="accent1"/>
              </w:rPr>
            </w:pPr>
            <w:r w:rsidRPr="00C5099C">
              <w:rPr>
                <w:color w:val="4472C4" w:themeColor="accent1"/>
              </w:rPr>
              <w:t>- Imposition de respect du CPE sera introduit dans le cahier des charges auteur de projet et entrepreneur</w:t>
            </w:r>
            <w:r w:rsidRPr="008E041D">
              <w:rPr>
                <w:rFonts w:ascii="Segoe UI" w:hAnsi="Segoe UI" w:cs="Segoe UI"/>
                <w:color w:val="4472C4" w:themeColor="accent1"/>
                <w:sz w:val="17"/>
                <w:szCs w:val="17"/>
                <w:shd w:val="clear" w:color="auto" w:fill="FFFFFF"/>
              </w:rPr>
              <w:t xml:space="preserve"> </w:t>
            </w:r>
          </w:p>
        </w:tc>
      </w:tr>
      <w:tr w:rsidRPr="003E71E6" w:rsidR="00C5099C" w:rsidTr="00C5099C" w14:paraId="31C6A412" w14:textId="77777777">
        <w:trPr>
          <w:trHeight w:val="101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73FBD" w:rsidR="00C5099C" w:rsidP="00FC09F1" w:rsidRDefault="00C5099C" w14:paraId="1AC6C61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73FBD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73FBD" w:rsidR="00C5099C" w:rsidP="00FC09F1" w:rsidRDefault="00C5099C" w14:paraId="56AA422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D73FBD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fr-FR"/>
              </w:rPr>
              <w:t>Le projet entraîne-t-il une augmentation des incidences négatives du climat et de son évolution attendue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fr-FR"/>
              </w:rPr>
              <w:t xml:space="preserve"> sur l’activité ou les personnes fréquentant le bâtiment le bâtiment rénové</w:t>
            </w:r>
            <w:r w:rsidRPr="00D73FBD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fr-FR"/>
              </w:rPr>
              <w:t xml:space="preserve"> ? </w:t>
            </w:r>
          </w:p>
        </w:tc>
        <w:tc>
          <w:tcPr>
            <w:tcW w:w="4585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3E71E6" w:rsidR="00C5099C" w:rsidP="00FC09F1" w:rsidRDefault="00C5099C" w14:paraId="1CE900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Pr="003E71E6" w:rsidR="00C5099C" w:rsidTr="00C5099C" w14:paraId="11049A0F" w14:textId="77777777">
        <w:trPr>
          <w:trHeight w:val="31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73FBD" w:rsidR="00C5099C" w:rsidP="00FC09F1" w:rsidRDefault="00C5099C" w14:paraId="2C911CA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73FBD" w:rsidR="00C5099C" w:rsidP="00FC09F1" w:rsidRDefault="00C5099C" w14:paraId="5604416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D73FBD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fr-FR"/>
              </w:rPr>
              <w:t>Economie circulaire </w:t>
            </w:r>
          </w:p>
        </w:tc>
        <w:tc>
          <w:tcPr>
            <w:tcW w:w="45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E041D" w:rsidR="00C5099C" w:rsidP="00FC09F1" w:rsidRDefault="00C5099C" w14:paraId="2D59FB5C" w14:textId="77777777">
            <w:pPr>
              <w:rPr>
                <w:rFonts w:ascii="Calibri" w:hAnsi="Calibri" w:eastAsia="Times New Roman" w:cs="Calibri"/>
                <w:color w:val="4472C4" w:themeColor="accent1"/>
                <w:sz w:val="24"/>
                <w:szCs w:val="24"/>
                <w:lang w:eastAsia="fr-FR"/>
              </w:rPr>
            </w:pPr>
            <w:r w:rsidRPr="008E041D">
              <w:rPr>
                <w:rFonts w:ascii="Calibri" w:hAnsi="Calibri" w:eastAsia="Times New Roman" w:cs="Calibri"/>
                <w:color w:val="4472C4" w:themeColor="accent1"/>
                <w:sz w:val="24"/>
                <w:szCs w:val="24"/>
                <w:lang w:eastAsia="fr-FR"/>
              </w:rPr>
              <w:t> Exemples de mesures qui peuvent être prises pour garantir une meilleure économie circulaire :</w:t>
            </w:r>
          </w:p>
          <w:p w:rsidRPr="00B6316A" w:rsidR="00C5099C" w:rsidP="00FC09F1" w:rsidRDefault="00C5099C" w14:paraId="700CB496" w14:textId="77777777">
            <w:pPr>
              <w:rPr>
                <w:color w:val="4472C4" w:themeColor="accent1"/>
              </w:rPr>
            </w:pPr>
            <w:r w:rsidRPr="00B6316A">
              <w:rPr>
                <w:rFonts w:ascii="Calibri" w:hAnsi="Calibri" w:eastAsia="Times New Roman" w:cs="Calibri"/>
                <w:color w:val="4472C4" w:themeColor="accent1"/>
                <w:sz w:val="24"/>
                <w:szCs w:val="24"/>
                <w:lang w:eastAsia="fr-FR"/>
              </w:rPr>
              <w:t xml:space="preserve">- </w:t>
            </w:r>
            <w:r w:rsidRPr="00B6316A">
              <w:rPr>
                <w:color w:val="4472C4" w:themeColor="accent1"/>
              </w:rPr>
              <w:t>Le CSC imposera le tri des produits de démolition et le recyclage via une filière reconnue (contrôle via bons de reprise)</w:t>
            </w:r>
          </w:p>
          <w:p w:rsidRPr="00B6316A" w:rsidR="00C5099C" w:rsidP="00FC09F1" w:rsidRDefault="00C5099C" w14:paraId="3278D93A" w14:textId="77777777">
            <w:pPr>
              <w:rPr>
                <w:color w:val="4472C4" w:themeColor="accent1"/>
              </w:rPr>
            </w:pPr>
            <w:r w:rsidRPr="00B6316A">
              <w:rPr>
                <w:color w:val="4472C4" w:themeColor="accent1"/>
              </w:rPr>
              <w:t>- Obligation de l’auteur de projet de prescrire un minimum de x % (en valeur) d’utilisation de produit recyclés</w:t>
            </w:r>
          </w:p>
          <w:p w:rsidRPr="00B6316A" w:rsidR="00C5099C" w:rsidP="00FC09F1" w:rsidRDefault="00C5099C" w14:paraId="61324DED" w14:textId="77777777">
            <w:pPr>
              <w:rPr>
                <w:rFonts w:ascii="Calibri" w:hAnsi="Calibri" w:eastAsia="Times New Roman" w:cs="Calibri"/>
                <w:color w:val="4472C4" w:themeColor="accent1"/>
                <w:sz w:val="24"/>
                <w:szCs w:val="24"/>
                <w:lang w:eastAsia="fr-FR"/>
              </w:rPr>
            </w:pPr>
            <w:r w:rsidRPr="00B6316A">
              <w:rPr>
                <w:color w:val="4472C4" w:themeColor="accent1"/>
              </w:rPr>
              <w:t>- Etablir un Grand livre des produits de construction utilisés sur le chantier avec le pourcentage de recyclage</w:t>
            </w:r>
            <w:r w:rsidRPr="00B6316A">
              <w:rPr>
                <w:rFonts w:ascii="Calibri" w:hAnsi="Calibri" w:eastAsia="Times New Roman" w:cs="Calibri"/>
                <w:color w:val="4472C4" w:themeColor="accent1"/>
                <w:sz w:val="24"/>
                <w:szCs w:val="24"/>
                <w:lang w:eastAsia="fr-FR"/>
              </w:rPr>
              <w:t> </w:t>
            </w:r>
          </w:p>
          <w:p w:rsidRPr="00B6316A" w:rsidR="00C5099C" w:rsidP="00FC09F1" w:rsidRDefault="00C5099C" w14:paraId="61E45E5A" w14:textId="77777777">
            <w:pPr>
              <w:rPr>
                <w:rFonts w:ascii="Calibri" w:hAnsi="Calibri" w:eastAsia="Times New Roman" w:cs="Calibri"/>
                <w:color w:val="000000"/>
                <w:lang w:eastAsia="fr-FR"/>
              </w:rPr>
            </w:pPr>
            <w:r w:rsidRPr="00B6316A">
              <w:rPr>
                <w:rFonts w:ascii="Calibri" w:hAnsi="Calibri" w:eastAsia="Times New Roman" w:cs="Calibri"/>
                <w:color w:val="4472C4" w:themeColor="accent1"/>
                <w:lang w:eastAsia="fr-FR"/>
              </w:rPr>
              <w:t xml:space="preserve">- Les auteurs de projet seront donc plus incités à utiliser ces matériaux pour lesquels une description à jour est disponible en se référant au Cahier des Charges Type-Bâtiments 2022 (CCTB) qui vient d’intégrer de nombreux articles sur les matériaux de réemploi et sur les matériaux plus écologiques et durables. </w:t>
            </w:r>
          </w:p>
        </w:tc>
      </w:tr>
      <w:tr w:rsidRPr="003E71E6" w:rsidR="00C5099C" w:rsidTr="00C5099C" w14:paraId="33BF3EDE" w14:textId="77777777">
        <w:trPr>
          <w:trHeight w:val="203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73FBD" w:rsidR="00C5099C" w:rsidP="00FC09F1" w:rsidRDefault="00C5099C" w14:paraId="7896F27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73FBD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73FBD" w:rsidR="00C5099C" w:rsidP="00FC09F1" w:rsidRDefault="00C5099C" w14:paraId="51E1725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D73FBD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fr-FR"/>
              </w:rPr>
              <w:t xml:space="preserve">Le projet est-il caractérisé par une inefficacité significative dans qui entraîne une augmentation notable de la production, de l’incinération ou de l’élimination de déchets ? </w:t>
            </w:r>
          </w:p>
        </w:tc>
        <w:tc>
          <w:tcPr>
            <w:tcW w:w="4585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3E71E6" w:rsidR="00C5099C" w:rsidP="00FC09F1" w:rsidRDefault="00C5099C" w14:paraId="344770C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C5099C" w:rsidRDefault="00C5099C" w14:paraId="57E76237" w14:textId="520FF40F">
      <w:pPr>
        <w:rPr>
          <w:sz w:val="24"/>
          <w:szCs w:val="24"/>
        </w:rPr>
      </w:pPr>
    </w:p>
    <w:p w:rsidR="004C2C82" w:rsidRDefault="004C2C82" w14:paraId="4912C11C" w14:textId="77777777">
      <w:pPr>
        <w:rPr>
          <w:sz w:val="24"/>
          <w:szCs w:val="24"/>
        </w:rPr>
      </w:pPr>
    </w:p>
    <w:p w:rsidR="00C5099C" w:rsidRDefault="004C2C82" w14:paraId="3D5DA0B3" w14:textId="2BFAAA19">
      <w:pPr>
        <w:rPr>
          <w:sz w:val="24"/>
          <w:szCs w:val="24"/>
        </w:rPr>
      </w:pPr>
      <w:r>
        <w:rPr>
          <w:sz w:val="24"/>
          <w:szCs w:val="24"/>
        </w:rPr>
        <w:lastRenderedPageBreak/>
        <w:t>Date :</w:t>
      </w:r>
      <w:r w:rsidR="001E3B8B">
        <w:rPr>
          <w:sz w:val="24"/>
          <w:szCs w:val="24"/>
        </w:rPr>
        <w:t xml:space="preserve"> </w:t>
      </w:r>
    </w:p>
    <w:p w:rsidR="004C2C82" w:rsidRDefault="004C2C82" w14:paraId="5692750C" w14:textId="51D71B66">
      <w:pPr>
        <w:rPr>
          <w:sz w:val="24"/>
          <w:szCs w:val="24"/>
        </w:rPr>
      </w:pPr>
      <w:r>
        <w:rPr>
          <w:sz w:val="24"/>
          <w:szCs w:val="24"/>
        </w:rPr>
        <w:t>Lieu :</w:t>
      </w:r>
    </w:p>
    <w:p w:rsidR="001E3B8B" w:rsidRDefault="001E3B8B" w14:paraId="44430826" w14:textId="19A4F40C">
      <w:pPr>
        <w:rPr>
          <w:sz w:val="24"/>
          <w:szCs w:val="24"/>
        </w:rPr>
      </w:pPr>
      <w:r>
        <w:rPr>
          <w:sz w:val="24"/>
          <w:szCs w:val="24"/>
        </w:rPr>
        <w:t>Nom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Prénom :</w:t>
      </w:r>
    </w:p>
    <w:p w:rsidRPr="004B0EE5" w:rsidR="004C2C82" w:rsidRDefault="004C2C82" w14:paraId="5BF459CF" w14:textId="24696F99">
      <w:pPr>
        <w:rPr>
          <w:sz w:val="24"/>
          <w:szCs w:val="24"/>
        </w:rPr>
      </w:pPr>
      <w:r>
        <w:rPr>
          <w:sz w:val="24"/>
          <w:szCs w:val="24"/>
        </w:rPr>
        <w:t xml:space="preserve">Signature : </w:t>
      </w:r>
    </w:p>
    <w:sectPr w:rsidRPr="004B0EE5" w:rsidR="004C2C82">
      <w:head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1ABC" w:rsidP="004B0EE5" w:rsidRDefault="002B1ABC" w14:paraId="6FA2853F" w14:textId="77777777">
      <w:pPr>
        <w:spacing w:after="0" w:line="240" w:lineRule="auto"/>
      </w:pPr>
      <w:r>
        <w:separator/>
      </w:r>
    </w:p>
  </w:endnote>
  <w:endnote w:type="continuationSeparator" w:id="0">
    <w:p w:rsidR="002B1ABC" w:rsidP="004B0EE5" w:rsidRDefault="002B1ABC" w14:paraId="253039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1ABC" w:rsidP="004B0EE5" w:rsidRDefault="002B1ABC" w14:paraId="48D1FC88" w14:textId="77777777">
      <w:pPr>
        <w:spacing w:after="0" w:line="240" w:lineRule="auto"/>
      </w:pPr>
      <w:r>
        <w:separator/>
      </w:r>
    </w:p>
  </w:footnote>
  <w:footnote w:type="continuationSeparator" w:id="0">
    <w:p w:rsidR="002B1ABC" w:rsidP="004B0EE5" w:rsidRDefault="002B1ABC" w14:paraId="1F59709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B0EE5" w:rsidRDefault="004B0EE5" w14:paraId="09A8315D" w14:textId="18F7138E">
    <w:pPr>
      <w:pStyle w:val="En-tte"/>
    </w:pPr>
    <w:r>
      <w:rPr>
        <w:noProof/>
      </w:rPr>
      <w:drawing>
        <wp:inline distT="0" distB="0" distL="0" distR="0" wp14:anchorId="59B5FA43" wp14:editId="0B4F3CB0">
          <wp:extent cx="1709531" cy="882595"/>
          <wp:effectExtent l="0" t="0" r="5080" b="0"/>
          <wp:docPr id="7" name="Image 1" descr="spw_fr.png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" descr="spw_fr.png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079" cy="8968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E5"/>
    <w:rsid w:val="00080A74"/>
    <w:rsid w:val="001E3B8B"/>
    <w:rsid w:val="0023026D"/>
    <w:rsid w:val="002B1ABC"/>
    <w:rsid w:val="004B0EE5"/>
    <w:rsid w:val="004C2C82"/>
    <w:rsid w:val="00931E05"/>
    <w:rsid w:val="00C1306E"/>
    <w:rsid w:val="00C5099C"/>
    <w:rsid w:val="00C54FBB"/>
    <w:rsid w:val="00DC3D09"/>
    <w:rsid w:val="00FD3C6A"/>
    <w:rsid w:val="7142994D"/>
    <w:rsid w:val="7DF09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0A235C"/>
  <w15:chartTrackingRefBased/>
  <w15:docId w15:val="{D3CAAFFF-93C9-41CA-8FD2-84D870E750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B0EE5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4B0EE5"/>
  </w:style>
  <w:style w:type="paragraph" w:styleId="Pieddepage">
    <w:name w:val="footer"/>
    <w:basedOn w:val="Normal"/>
    <w:link w:val="PieddepageCar"/>
    <w:uiPriority w:val="99"/>
    <w:unhideWhenUsed/>
    <w:rsid w:val="004B0EE5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4B0EE5"/>
  </w:style>
  <w:style w:type="character" w:styleId="Lienhypertexte">
    <w:name w:val="Hyperlink"/>
    <w:basedOn w:val="Policepardfaut"/>
    <w:uiPriority w:val="99"/>
    <w:unhideWhenUsed/>
    <w:rsid w:val="00C5099C"/>
    <w:rPr>
      <w:rFonts w:hint="default" w:ascii="Verdana" w:hAnsi="Verdana"/>
      <w:strike w:val="0"/>
      <w:dstrike w:val="0"/>
      <w:color w:val="C4282B"/>
      <w:sz w:val="13"/>
      <w:szCs w:val="13"/>
      <w:u w:val="none"/>
      <w:effect w:val="none"/>
    </w:rPr>
  </w:style>
  <w:style w:type="paragraph" w:styleId="Paragraphedeliste">
    <w:name w:val="List Paragraph"/>
    <w:basedOn w:val="Normal"/>
    <w:uiPriority w:val="34"/>
    <w:qFormat/>
    <w:rsid w:val="004C2C82"/>
    <w:pPr>
      <w:spacing w:after="200" w:line="288" w:lineRule="auto"/>
      <w:ind w:left="720"/>
      <w:contextualSpacing/>
    </w:pPr>
    <w:rPr>
      <w:rFonts w:eastAsiaTheme="minorEastAsia"/>
      <w:i/>
      <w:iCs/>
      <w:sz w:val="20"/>
      <w:szCs w:val="20"/>
      <w:lang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4C2C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2C82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4C2C8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2C82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4C2C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1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eur-lex.europa.eu/legal-content/FR/TXT/PDF/?uri=CELEX:52021XC0218(01)&amp;from=EN" TargetMode="Externa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allonie.b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CABB51BC189D4F90844582D55F4BBD" ma:contentTypeVersion="6" ma:contentTypeDescription="Crée un document." ma:contentTypeScope="" ma:versionID="2ab82d1cc8a7f9f21c9c01b392ff5cf3">
  <xsd:schema xmlns:xsd="http://www.w3.org/2001/XMLSchema" xmlns:xs="http://www.w3.org/2001/XMLSchema" xmlns:p="http://schemas.microsoft.com/office/2006/metadata/properties" xmlns:ns2="b890ceec-64a2-4c8b-baf1-3602d283e003" xmlns:ns3="405a45fe-04d9-43fa-9615-98b39c73dd4a" targetNamespace="http://schemas.microsoft.com/office/2006/metadata/properties" ma:root="true" ma:fieldsID="fecfd3f40cd5d00a6a8e5fcb073d4e4a" ns2:_="" ns3:_="">
    <xsd:import namespace="b890ceec-64a2-4c8b-baf1-3602d283e003"/>
    <xsd:import namespace="405a45fe-04d9-43fa-9615-98b39c73d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0ceec-64a2-4c8b-baf1-3602d283e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a45fe-04d9-43fa-9615-98b39c73d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0035E3-E09D-47A0-8B8D-485B53547013}"/>
</file>

<file path=customXml/itemProps2.xml><?xml version="1.0" encoding="utf-8"?>
<ds:datastoreItem xmlns:ds="http://schemas.openxmlformats.org/officeDocument/2006/customXml" ds:itemID="{8A61E0B2-D451-4B25-802F-614A4E70B59C}"/>
</file>

<file path=customXml/itemProps3.xml><?xml version="1.0" encoding="utf-8"?>
<ds:datastoreItem xmlns:ds="http://schemas.openxmlformats.org/officeDocument/2006/customXml" ds:itemID="{7FAFA40F-6BC2-42AA-80A5-A5D688A06F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NEIRINCKX Nicolas</dc:creator>
  <keywords/>
  <dc:description/>
  <lastModifiedBy>GIULIANA Samuel</lastModifiedBy>
  <revision>6</revision>
  <dcterms:created xsi:type="dcterms:W3CDTF">2022-06-08T11:26:00.0000000Z</dcterms:created>
  <dcterms:modified xsi:type="dcterms:W3CDTF">2022-07-13T11:59:53.1214697Z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2022-06-08T11:26:48Z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f916c53b-cf90-498c-963c-93ef5bbf7c88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0x010100E2CABB51BC189D4F90844582D55F4BBD</vt:lpwstr>
  </property>
</Properties>
</file>