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F1A" w14:textId="502666F8" w:rsidR="0065551E" w:rsidRDefault="0065551E" w:rsidP="0085432F">
      <w:pPr>
        <w:pStyle w:val="Titre2"/>
      </w:pPr>
      <w:bookmarkStart w:id="0" w:name="_Toc73699645"/>
      <w:r>
        <w:rPr>
          <w:noProof/>
        </w:rPr>
        <w:drawing>
          <wp:inline distT="0" distB="0" distL="0" distR="0" wp14:anchorId="02C67087" wp14:editId="6C4917C6">
            <wp:extent cx="752400" cy="1036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00" cy="1036800"/>
                    </a:xfrm>
                    <a:prstGeom prst="rect">
                      <a:avLst/>
                    </a:prstGeom>
                  </pic:spPr>
                </pic:pic>
              </a:graphicData>
            </a:graphic>
          </wp:inline>
        </w:drawing>
      </w:r>
    </w:p>
    <w:p w14:paraId="29F6980A" w14:textId="77777777" w:rsidR="004644BC" w:rsidRDefault="004644BC" w:rsidP="0085432F">
      <w:pPr>
        <w:pStyle w:val="Titre2"/>
      </w:pPr>
    </w:p>
    <w:p w14:paraId="524A9BBE" w14:textId="680DE904" w:rsidR="00704197" w:rsidRDefault="004644BC" w:rsidP="0085432F">
      <w:pPr>
        <w:pStyle w:val="Titre2"/>
      </w:pPr>
      <w:r>
        <w:t xml:space="preserve"> </w:t>
      </w:r>
    </w:p>
    <w:p w14:paraId="3F188DC9" w14:textId="65717604" w:rsidR="0065551E" w:rsidRPr="00A54737" w:rsidRDefault="004644BC" w:rsidP="0085432F">
      <w:pPr>
        <w:pStyle w:val="Titre2"/>
      </w:pPr>
      <w:r w:rsidRPr="00A54737">
        <w:t>Plan de Relance de la Wallonie</w:t>
      </w:r>
      <w:r w:rsidR="007E17DC" w:rsidRPr="00A54737">
        <w:t xml:space="preserve"> 2022</w:t>
      </w:r>
    </w:p>
    <w:p w14:paraId="457DAA4F" w14:textId="77777777" w:rsidR="0065551E" w:rsidRPr="0065551E" w:rsidRDefault="0065551E" w:rsidP="0065551E">
      <w:pPr>
        <w:jc w:val="center"/>
        <w:rPr>
          <w:b/>
          <w:bCs/>
          <w:sz w:val="32"/>
          <w:szCs w:val="32"/>
        </w:rPr>
      </w:pPr>
    </w:p>
    <w:p w14:paraId="790E2652" w14:textId="499F4D52" w:rsidR="0065551E" w:rsidRPr="0065551E" w:rsidRDefault="0065551E" w:rsidP="0065551E">
      <w:pPr>
        <w:jc w:val="center"/>
        <w:rPr>
          <w:b/>
          <w:bCs/>
          <w:sz w:val="32"/>
          <w:szCs w:val="32"/>
        </w:rPr>
      </w:pPr>
      <w:r w:rsidRPr="0065551E">
        <w:rPr>
          <w:b/>
          <w:bCs/>
          <w:sz w:val="32"/>
          <w:szCs w:val="32"/>
        </w:rPr>
        <w:t xml:space="preserve">Appel à projets pour la géothermie peu profonde </w:t>
      </w:r>
    </w:p>
    <w:p w14:paraId="2EE10170" w14:textId="77777777" w:rsidR="0065551E" w:rsidRPr="0065551E" w:rsidRDefault="0065551E" w:rsidP="0065551E">
      <w:pPr>
        <w:jc w:val="center"/>
        <w:rPr>
          <w:b/>
          <w:bCs/>
          <w:sz w:val="32"/>
          <w:szCs w:val="32"/>
        </w:rPr>
      </w:pPr>
    </w:p>
    <w:p w14:paraId="09010407" w14:textId="68BA0F7E" w:rsidR="0065551E" w:rsidRPr="009C52DC" w:rsidRDefault="00FD6E85" w:rsidP="0065551E">
      <w:pPr>
        <w:jc w:val="center"/>
        <w:rPr>
          <w:b/>
          <w:bCs/>
          <w:sz w:val="28"/>
          <w:szCs w:val="28"/>
        </w:rPr>
      </w:pPr>
      <w:r>
        <w:rPr>
          <w:b/>
          <w:bCs/>
          <w:sz w:val="28"/>
          <w:szCs w:val="28"/>
        </w:rPr>
        <w:t>Jui</w:t>
      </w:r>
      <w:r w:rsidR="001C65F8">
        <w:rPr>
          <w:b/>
          <w:bCs/>
          <w:sz w:val="28"/>
          <w:szCs w:val="28"/>
        </w:rPr>
        <w:t>llet</w:t>
      </w:r>
      <w:r w:rsidR="0065551E" w:rsidRPr="009C52DC">
        <w:rPr>
          <w:b/>
          <w:bCs/>
          <w:sz w:val="28"/>
          <w:szCs w:val="28"/>
        </w:rPr>
        <w:t xml:space="preserve"> 202</w:t>
      </w:r>
      <w:r w:rsidR="007E17DC">
        <w:rPr>
          <w:b/>
          <w:bCs/>
          <w:sz w:val="28"/>
          <w:szCs w:val="28"/>
        </w:rPr>
        <w:t>2</w:t>
      </w:r>
    </w:p>
    <w:p w14:paraId="4571253B" w14:textId="77777777" w:rsidR="0065551E" w:rsidRPr="0065551E" w:rsidRDefault="0065551E" w:rsidP="0065551E"/>
    <w:p w14:paraId="3935C85E" w14:textId="77777777" w:rsidR="0065551E" w:rsidRDefault="0065551E" w:rsidP="0085432F">
      <w:pPr>
        <w:pStyle w:val="Titre2"/>
      </w:pPr>
    </w:p>
    <w:p w14:paraId="0E5520F4" w14:textId="22857C9F" w:rsidR="007E17DC" w:rsidRDefault="007E17DC" w:rsidP="007E17DC">
      <w:pPr>
        <w:jc w:val="center"/>
        <w:rPr>
          <w:b/>
          <w:bCs/>
          <w:sz w:val="32"/>
          <w:szCs w:val="32"/>
          <w:u w:val="single"/>
        </w:rPr>
      </w:pPr>
      <w:r w:rsidRPr="007E17DC">
        <w:rPr>
          <w:b/>
          <w:bCs/>
          <w:sz w:val="32"/>
          <w:szCs w:val="32"/>
          <w:u w:val="single"/>
        </w:rPr>
        <w:t xml:space="preserve">Annexe </w:t>
      </w:r>
      <w:r w:rsidR="00DF5AAA">
        <w:rPr>
          <w:b/>
          <w:bCs/>
          <w:sz w:val="32"/>
          <w:szCs w:val="32"/>
          <w:u w:val="single"/>
        </w:rPr>
        <w:t>2</w:t>
      </w:r>
    </w:p>
    <w:p w14:paraId="5FDC5C33" w14:textId="77777777" w:rsidR="006852DA" w:rsidRPr="007E17DC" w:rsidRDefault="006852DA" w:rsidP="007E17DC">
      <w:pPr>
        <w:jc w:val="center"/>
        <w:rPr>
          <w:b/>
          <w:bCs/>
          <w:sz w:val="32"/>
          <w:szCs w:val="32"/>
          <w:u w:val="single"/>
        </w:rPr>
      </w:pPr>
    </w:p>
    <w:bookmarkEnd w:id="0"/>
    <w:p w14:paraId="586187D7" w14:textId="08BA5239" w:rsidR="0065551E" w:rsidRPr="0085432F" w:rsidRDefault="00C11AF8" w:rsidP="0085432F">
      <w:pPr>
        <w:pStyle w:val="Titre2"/>
      </w:pPr>
      <w:r w:rsidRPr="0085432F">
        <w:t>Critères d</w:t>
      </w:r>
      <w:r w:rsidR="00DF5AAA">
        <w:t>e sélection</w:t>
      </w:r>
    </w:p>
    <w:p w14:paraId="63162482" w14:textId="77777777" w:rsidR="007E17DC" w:rsidRPr="007E17DC" w:rsidRDefault="007E17DC" w:rsidP="007E17DC"/>
    <w:p w14:paraId="3CEE507B" w14:textId="77777777" w:rsidR="00C11AF8" w:rsidRDefault="00C11AF8" w:rsidP="00115D06"/>
    <w:p w14:paraId="113E4B28" w14:textId="146BA408" w:rsidR="00C11AF8" w:rsidRDefault="006852DA" w:rsidP="00115D06">
      <w:r w:rsidRPr="00B339C8">
        <w:t>Le projet du candidat est évalué sur base des critères de sélection détaillés ci-dessous. Toute proposition de projet qui ne répond pas à un ou plusieurs des critères de sélection est déclarée irrecevable.</w:t>
      </w:r>
    </w:p>
    <w:p w14:paraId="55878F05" w14:textId="038799A9" w:rsidR="006852DA" w:rsidRDefault="006852DA" w:rsidP="006852DA">
      <w:r w:rsidRPr="00B339C8">
        <w:t xml:space="preserve">Dans sa proposition de projet, le candidat doit introduire les documents suivants : </w:t>
      </w:r>
    </w:p>
    <w:p w14:paraId="22B0C9D2" w14:textId="77777777" w:rsidR="006852DA" w:rsidRPr="006852DA" w:rsidRDefault="006852DA" w:rsidP="006852DA">
      <w:pPr>
        <w:pStyle w:val="Titre1"/>
      </w:pPr>
      <w:bookmarkStart w:id="1" w:name="_Toc100927493"/>
      <w:r w:rsidRPr="006852DA">
        <w:t>Les capacités techniques et professionnelles</w:t>
      </w:r>
      <w:bookmarkEnd w:id="1"/>
    </w:p>
    <w:p w14:paraId="041E8A6A" w14:textId="77777777" w:rsidR="006852DA" w:rsidRPr="00B339C8" w:rsidRDefault="006852DA" w:rsidP="006852DA"/>
    <w:p w14:paraId="57865F95" w14:textId="4AA2532A" w:rsidR="00544832" w:rsidRDefault="00544832" w:rsidP="00544832">
      <w:r>
        <w:t>L</w:t>
      </w:r>
      <w:r w:rsidR="006852DA" w:rsidRPr="00544832">
        <w:t xml:space="preserve">e candidat doit démontrer qu’il dispose d’une aptitude technique ou professionnelle suffisante pour réaliser le projet. </w:t>
      </w:r>
    </w:p>
    <w:p w14:paraId="3600C7C0" w14:textId="5C6F614F" w:rsidR="006852DA" w:rsidRPr="00544832" w:rsidRDefault="00544832" w:rsidP="00544832">
      <w:pPr>
        <w:pStyle w:val="Paragraphedeliste"/>
        <w:numPr>
          <w:ilvl w:val="0"/>
          <w:numId w:val="23"/>
        </w:numPr>
        <w:rPr>
          <w:rFonts w:ascii="Verdana" w:hAnsi="Verdana" w:cstheme="minorHAnsi"/>
        </w:rPr>
      </w:pPr>
      <w:r>
        <w:rPr>
          <w:rFonts w:ascii="Verdana" w:hAnsi="Verdana" w:cstheme="minorHAnsi"/>
        </w:rPr>
        <w:t>Le candidat remet</w:t>
      </w:r>
      <w:r w:rsidR="006852DA" w:rsidRPr="00544832">
        <w:rPr>
          <w:rFonts w:ascii="Verdana" w:hAnsi="Verdana" w:cstheme="minorHAnsi"/>
        </w:rPr>
        <w:t xml:space="preserve"> une liste des principaux services effectués ces 5 dernières années faisant apparaître les compétences techniques dans le domaine de la géothermie peu profonde à cette liste doit figurer au moins 3 services similaires au présent appel (supérieurs ou égal à 50.000€ HTVA), avec mention du montant, de la date et des destinataires publics ou privés. </w:t>
      </w:r>
    </w:p>
    <w:p w14:paraId="3E8CE311" w14:textId="77777777" w:rsidR="006852DA" w:rsidRPr="00544832" w:rsidRDefault="006852DA" w:rsidP="006852DA">
      <w:pPr>
        <w:pStyle w:val="Paragraphedeliste"/>
        <w:rPr>
          <w:rFonts w:ascii="Verdana" w:hAnsi="Verdana"/>
        </w:rPr>
      </w:pPr>
    </w:p>
    <w:p w14:paraId="56FBEFD5" w14:textId="45CCF619" w:rsidR="006852DA" w:rsidRPr="006852DA" w:rsidRDefault="006852DA" w:rsidP="00544832">
      <w:pPr>
        <w:pStyle w:val="Paragraphedeliste"/>
        <w:numPr>
          <w:ilvl w:val="0"/>
          <w:numId w:val="23"/>
        </w:numPr>
        <w:rPr>
          <w:rFonts w:ascii="Verdana" w:hAnsi="Verdana"/>
        </w:rPr>
      </w:pPr>
      <w:r w:rsidRPr="006852DA">
        <w:rPr>
          <w:rFonts w:ascii="Verdana" w:hAnsi="Verdana"/>
        </w:rPr>
        <w:lastRenderedPageBreak/>
        <w:t xml:space="preserve">Le candidat transmet également le CV de toutes les personnes qui seraient chargées de l’exécution du projet.  Il doit au minimum avoir au sein de son équipe ou de son partenariat : un </w:t>
      </w:r>
      <w:r w:rsidRPr="006852DA">
        <w:rPr>
          <w:rFonts w:ascii="Verdana" w:hAnsi="Verdana" w:cs="Tahoma"/>
        </w:rPr>
        <w:t xml:space="preserve">expert en énergie géothermique (minimum 5 ans d’expérience), un expert en géologie et son application (minimum 5 ans d’expérience), un expert en hydrogéologie (minimum 5 ans d’expérience), </w:t>
      </w:r>
      <w:r w:rsidRPr="006852DA">
        <w:rPr>
          <w:rFonts w:ascii="Verdana" w:hAnsi="Verdana"/>
        </w:rPr>
        <w:t>et un personnel ayant</w:t>
      </w:r>
      <w:r w:rsidRPr="006852DA">
        <w:rPr>
          <w:rFonts w:ascii="Verdana" w:hAnsi="Verdana" w:cs="Arial"/>
          <w:lang w:eastAsia="de-DE"/>
        </w:rPr>
        <w:t xml:space="preserve"> une expertise au niveau des aspects de forage et des aspects de surface liés aux dimensionnements du projet  (PAC, réseau de chaleur, clusters, besoins en chaleur et froid), minimum 5 ans d’expérience.</w:t>
      </w:r>
    </w:p>
    <w:p w14:paraId="4BED45EC" w14:textId="77777777" w:rsidR="00544832" w:rsidRDefault="00544832" w:rsidP="006852DA">
      <w:pPr>
        <w:pStyle w:val="Paragraphedeliste"/>
        <w:spacing w:before="120"/>
        <w:rPr>
          <w:rFonts w:ascii="Verdana" w:hAnsi="Verdana"/>
        </w:rPr>
      </w:pPr>
    </w:p>
    <w:p w14:paraId="1A2CAB7A" w14:textId="0501B2BD" w:rsidR="006852DA" w:rsidRDefault="006852DA" w:rsidP="006852DA">
      <w:pPr>
        <w:pStyle w:val="Paragraphedeliste"/>
        <w:spacing w:before="120"/>
        <w:rPr>
          <w:rFonts w:ascii="Verdana" w:hAnsi="Verdana"/>
        </w:rPr>
      </w:pPr>
      <w:r w:rsidRPr="006852DA">
        <w:rPr>
          <w:rFonts w:ascii="Verdana" w:hAnsi="Verdana"/>
        </w:rPr>
        <w:t xml:space="preserve">En cas de partenariat, le candidat doit fournir les renseignements et </w:t>
      </w:r>
      <w:r w:rsidR="00486FBD">
        <w:rPr>
          <w:rFonts w:ascii="Verdana" w:hAnsi="Verdana"/>
        </w:rPr>
        <w:t xml:space="preserve">les </w:t>
      </w:r>
      <w:r w:rsidRPr="006852DA">
        <w:rPr>
          <w:rFonts w:ascii="Verdana" w:hAnsi="Verdana"/>
        </w:rPr>
        <w:t xml:space="preserve">documents </w:t>
      </w:r>
      <w:r w:rsidR="00486FBD">
        <w:rPr>
          <w:rFonts w:ascii="Verdana" w:hAnsi="Verdana"/>
        </w:rPr>
        <w:t>cités</w:t>
      </w:r>
      <w:r w:rsidR="003E46A9">
        <w:rPr>
          <w:rFonts w:ascii="Verdana" w:hAnsi="Verdana"/>
        </w:rPr>
        <w:t xml:space="preserve"> ci-dessus</w:t>
      </w:r>
      <w:r w:rsidRPr="006852DA">
        <w:rPr>
          <w:rFonts w:ascii="Verdana" w:hAnsi="Verdana"/>
        </w:rPr>
        <w:t xml:space="preserve"> pour chaque partenaire. L’évaluation de la capacité technique étant réalisée sur base de la globalisation des documents. </w:t>
      </w:r>
    </w:p>
    <w:p w14:paraId="72DA6D1F" w14:textId="40993AA5" w:rsidR="0085432F" w:rsidRDefault="0085432F" w:rsidP="006852DA">
      <w:pPr>
        <w:pStyle w:val="Paragraphedeliste"/>
        <w:spacing w:before="120"/>
        <w:rPr>
          <w:rFonts w:ascii="Verdana" w:hAnsi="Verdana"/>
        </w:rPr>
      </w:pPr>
    </w:p>
    <w:p w14:paraId="1AF14C17" w14:textId="3EE2E5C7" w:rsidR="006852DA" w:rsidRPr="0085432F" w:rsidRDefault="006852DA" w:rsidP="0085432F"/>
    <w:p w14:paraId="6DE224E3" w14:textId="34495BCF" w:rsidR="006852DA" w:rsidRPr="00B339C8" w:rsidRDefault="006852DA" w:rsidP="006852DA">
      <w:pPr>
        <w:pStyle w:val="Titre1"/>
      </w:pPr>
      <w:bookmarkStart w:id="2" w:name="_Toc100927494"/>
      <w:r w:rsidRPr="00B339C8">
        <w:t xml:space="preserve">Intégrité des </w:t>
      </w:r>
      <w:bookmarkEnd w:id="2"/>
      <w:r>
        <w:t>candidats</w:t>
      </w:r>
      <w:r w:rsidRPr="00B339C8">
        <w:t xml:space="preserve"> </w:t>
      </w:r>
    </w:p>
    <w:p w14:paraId="2195C9BA" w14:textId="77777777" w:rsidR="006852DA" w:rsidRDefault="006852DA" w:rsidP="006852DA">
      <w:pPr>
        <w:pStyle w:val="Titre1"/>
        <w:numPr>
          <w:ilvl w:val="0"/>
          <w:numId w:val="0"/>
        </w:numPr>
        <w:ind w:left="720" w:hanging="360"/>
      </w:pPr>
    </w:p>
    <w:p w14:paraId="4C868EAE" w14:textId="4EA48FEC" w:rsidR="006852DA" w:rsidRDefault="006852DA" w:rsidP="0081021C">
      <w:pPr>
        <w:pStyle w:val="Paragraphedeliste"/>
        <w:numPr>
          <w:ilvl w:val="0"/>
          <w:numId w:val="23"/>
        </w:numPr>
        <w:rPr>
          <w:rFonts w:ascii="Verdana" w:hAnsi="Verdana"/>
          <w:szCs w:val="22"/>
        </w:rPr>
      </w:pPr>
      <w:r w:rsidRPr="00B339C8">
        <w:rPr>
          <w:rFonts w:ascii="Verdana" w:hAnsi="Verdana"/>
          <w:szCs w:val="22"/>
        </w:rPr>
        <w:t xml:space="preserve">Le candidat doit fournir un extrait du casier judiciaire pour la personne morale du candidat ou des candidats dont il ressort que cette personne morale ou ces personnes morales n’a pas / n’ont pas </w:t>
      </w:r>
      <w:r>
        <w:rPr>
          <w:rFonts w:ascii="Verdana" w:hAnsi="Verdana"/>
          <w:szCs w:val="22"/>
        </w:rPr>
        <w:t>fait l’objet d’une condamnation</w:t>
      </w:r>
      <w:r w:rsidRPr="00B339C8">
        <w:rPr>
          <w:rFonts w:ascii="Verdana" w:hAnsi="Verdana"/>
          <w:szCs w:val="22"/>
        </w:rPr>
        <w:t xml:space="preserve"> au cours des cinq dernières années en lien avec l’objet de l’appel ou portant atteinte à l’honorabilité du porteur de projet</w:t>
      </w:r>
      <w:r>
        <w:rPr>
          <w:rFonts w:ascii="Verdana" w:hAnsi="Verdana"/>
          <w:szCs w:val="22"/>
        </w:rPr>
        <w:t> ;</w:t>
      </w:r>
    </w:p>
    <w:p w14:paraId="516251A6" w14:textId="77777777" w:rsidR="006852DA" w:rsidRPr="00B339C8" w:rsidRDefault="006852DA" w:rsidP="006852DA">
      <w:pPr>
        <w:pStyle w:val="Paragraphedeliste"/>
        <w:rPr>
          <w:rFonts w:ascii="Verdana" w:hAnsi="Verdana"/>
          <w:szCs w:val="22"/>
        </w:rPr>
      </w:pPr>
    </w:p>
    <w:p w14:paraId="7F910871" w14:textId="01CCCFA8" w:rsidR="006852DA" w:rsidRPr="006852DA" w:rsidRDefault="006852DA" w:rsidP="0081021C">
      <w:pPr>
        <w:pStyle w:val="Paragraphedeliste"/>
        <w:numPr>
          <w:ilvl w:val="0"/>
          <w:numId w:val="23"/>
        </w:numPr>
        <w:rPr>
          <w:rFonts w:ascii="Verdana" w:hAnsi="Verdana"/>
          <w:szCs w:val="22"/>
        </w:rPr>
      </w:pPr>
      <w:r w:rsidRPr="00B339C8">
        <w:rPr>
          <w:rFonts w:ascii="Verdana" w:hAnsi="Verdana"/>
          <w:szCs w:val="22"/>
        </w:rPr>
        <w:t>Une attestation</w:t>
      </w:r>
      <w:r>
        <w:rPr>
          <w:rFonts w:ascii="Verdana" w:hAnsi="Verdana"/>
          <w:szCs w:val="22"/>
        </w:rPr>
        <w:t xml:space="preserve"> de moins de 6 mois</w:t>
      </w:r>
      <w:r w:rsidRPr="00B339C8">
        <w:rPr>
          <w:rFonts w:ascii="Verdana" w:hAnsi="Verdana"/>
          <w:szCs w:val="22"/>
        </w:rPr>
        <w:t xml:space="preserve"> dans laquelle l’autorité déclare que le candidat concerné n’a pas plus de 3.000 euros de dettes auprès de l’Office national de Sécurité sociale. Il ne peut être une entreprise en difficultés telle que visée par le Code de droit économique ;</w:t>
      </w:r>
    </w:p>
    <w:p w14:paraId="7D8F5A88" w14:textId="77777777" w:rsidR="006852DA" w:rsidRPr="00B339C8" w:rsidRDefault="006852DA" w:rsidP="006852DA">
      <w:pPr>
        <w:pStyle w:val="Paragraphedeliste"/>
        <w:rPr>
          <w:rFonts w:ascii="Verdana" w:hAnsi="Verdana"/>
          <w:szCs w:val="22"/>
        </w:rPr>
      </w:pPr>
    </w:p>
    <w:p w14:paraId="1C162FD5" w14:textId="789E88D9" w:rsidR="006852DA" w:rsidRDefault="006852DA" w:rsidP="0081021C">
      <w:pPr>
        <w:pStyle w:val="Paragraphedeliste"/>
        <w:numPr>
          <w:ilvl w:val="0"/>
          <w:numId w:val="23"/>
        </w:numPr>
        <w:rPr>
          <w:rFonts w:ascii="Verdana" w:hAnsi="Verdana"/>
          <w:szCs w:val="22"/>
        </w:rPr>
      </w:pPr>
      <w:r w:rsidRPr="00B339C8">
        <w:rPr>
          <w:rFonts w:ascii="Verdana" w:hAnsi="Verdana"/>
          <w:szCs w:val="22"/>
        </w:rPr>
        <w:t>Une attestation « dettes fiscales » de moins de 6 mois (à demander auprès du Bureau de recette contributions directes ou TVA) qui prouve que le candidat n’a pas de dettes fiscales, délivrée par le SPF Finances belge ;</w:t>
      </w:r>
    </w:p>
    <w:p w14:paraId="74F4E23E" w14:textId="77777777" w:rsidR="006852DA" w:rsidRPr="00B339C8" w:rsidRDefault="006852DA" w:rsidP="006852DA">
      <w:pPr>
        <w:pStyle w:val="Paragraphedeliste"/>
        <w:rPr>
          <w:rFonts w:ascii="Verdana" w:hAnsi="Verdana"/>
          <w:szCs w:val="22"/>
        </w:rPr>
      </w:pPr>
    </w:p>
    <w:p w14:paraId="1A35B05C" w14:textId="719856A3" w:rsidR="006852DA" w:rsidRDefault="006852DA" w:rsidP="0081021C">
      <w:pPr>
        <w:pStyle w:val="Paragraphedeliste"/>
        <w:numPr>
          <w:ilvl w:val="0"/>
          <w:numId w:val="23"/>
        </w:numPr>
        <w:rPr>
          <w:rFonts w:ascii="Verdana" w:hAnsi="Verdana"/>
          <w:szCs w:val="22"/>
        </w:rPr>
      </w:pPr>
      <w:r w:rsidRPr="00B339C8">
        <w:rPr>
          <w:rFonts w:ascii="Verdana" w:hAnsi="Verdana"/>
          <w:szCs w:val="22"/>
        </w:rPr>
        <w:t>Une « attestation de non-faillite » de moins de 6 mois (à demander auprès du tribunal du commerce compétent), délivrée par le SPF Finances belge ;</w:t>
      </w:r>
    </w:p>
    <w:p w14:paraId="7C409DA1" w14:textId="29470473" w:rsidR="006852DA" w:rsidRDefault="006852DA" w:rsidP="006852DA"/>
    <w:p w14:paraId="447BACAE" w14:textId="4EE07302" w:rsidR="006852DA" w:rsidRDefault="006852DA" w:rsidP="006852DA">
      <w:pPr>
        <w:pStyle w:val="Titre1"/>
      </w:pPr>
      <w:bookmarkStart w:id="3" w:name="_Toc100927495"/>
      <w:r w:rsidRPr="00B339C8">
        <w:t>La situation budgétaire et financière des candidats</w:t>
      </w:r>
      <w:bookmarkEnd w:id="3"/>
    </w:p>
    <w:p w14:paraId="13A8F73C" w14:textId="77777777" w:rsidR="00DF5AAA" w:rsidRPr="00DF5AAA" w:rsidRDefault="00DF5AAA" w:rsidP="00DF5AAA"/>
    <w:p w14:paraId="2B57CB2E" w14:textId="2DF2F189" w:rsidR="00DF5AAA" w:rsidRDefault="00DF5AAA" w:rsidP="00DF5AAA">
      <w:r w:rsidRPr="00DF5AAA">
        <w:t xml:space="preserve">Le candidat doit démonter qu’il dispose d’une capacité économique et financière suffisante pour réaliser le projet. À cet égard, le candidat doit démontrer le caractère réaliste du projet en ce qui concerne la suffisance des moyens financiers prévus pour l’exécution du projet. </w:t>
      </w:r>
      <w:r w:rsidRPr="00B339C8">
        <w:t>Le candidat fournit le document suivant :</w:t>
      </w:r>
    </w:p>
    <w:p w14:paraId="621A5F6D" w14:textId="77777777" w:rsidR="00DF5AAA" w:rsidRPr="00B339C8" w:rsidRDefault="00DF5AAA" w:rsidP="00DF5AAA"/>
    <w:p w14:paraId="24826DE6" w14:textId="28CBCFE3" w:rsidR="006852DA" w:rsidRPr="00DF5AAA" w:rsidRDefault="006852DA" w:rsidP="00DF5AAA">
      <w:pPr>
        <w:pStyle w:val="Titre1"/>
        <w:numPr>
          <w:ilvl w:val="0"/>
          <w:numId w:val="0"/>
        </w:numPr>
        <w:rPr>
          <w:b w:val="0"/>
          <w:bCs w:val="0"/>
          <w:sz w:val="22"/>
          <w:szCs w:val="22"/>
          <w:u w:val="none"/>
        </w:rPr>
      </w:pPr>
    </w:p>
    <w:p w14:paraId="08113D90" w14:textId="77777777" w:rsidR="00DF5AAA" w:rsidRPr="00DF5AAA" w:rsidRDefault="00DF5AAA" w:rsidP="00DF5AAA"/>
    <w:p w14:paraId="22FC6E10" w14:textId="13094BB7" w:rsidR="006852DA" w:rsidRDefault="006852DA" w:rsidP="0081021C">
      <w:pPr>
        <w:pStyle w:val="Paragraphedeliste"/>
        <w:numPr>
          <w:ilvl w:val="0"/>
          <w:numId w:val="23"/>
        </w:numPr>
        <w:rPr>
          <w:rFonts w:ascii="Verdana" w:hAnsi="Verdana"/>
          <w:szCs w:val="22"/>
        </w:rPr>
      </w:pPr>
      <w:bookmarkStart w:id="4" w:name="_Hlk103868102"/>
      <w:r>
        <w:rPr>
          <w:rFonts w:ascii="Verdana" w:hAnsi="Verdana"/>
          <w:szCs w:val="22"/>
        </w:rPr>
        <w:t>Une d</w:t>
      </w:r>
      <w:r w:rsidRPr="00B339C8">
        <w:rPr>
          <w:rFonts w:ascii="Verdana" w:hAnsi="Verdana"/>
          <w:szCs w:val="22"/>
        </w:rPr>
        <w:t>éclaration relative</w:t>
      </w:r>
      <w:r w:rsidRPr="00B339C8">
        <w:rPr>
          <w:rFonts w:ascii="Verdana" w:eastAsia="PMingLiU" w:hAnsi="Verdana"/>
          <w:szCs w:val="22"/>
          <w:lang w:eastAsia="en-US"/>
        </w:rPr>
        <w:t xml:space="preserve"> à un chiffre d’affaires réalisé pendant les trois derniers exercices égal ou supérieur à </w:t>
      </w:r>
      <w:r w:rsidRPr="00B339C8">
        <w:rPr>
          <w:rFonts w:ascii="Verdana" w:eastAsia="PMingLiU" w:hAnsi="Verdana"/>
          <w:szCs w:val="22"/>
        </w:rPr>
        <w:t>10</w:t>
      </w:r>
      <w:r w:rsidRPr="00B339C8">
        <w:rPr>
          <w:rFonts w:ascii="Verdana" w:eastAsia="PMingLiU" w:hAnsi="Verdana"/>
          <w:szCs w:val="22"/>
          <w:lang w:eastAsia="en-US"/>
        </w:rPr>
        <w:t>0.000 EURO</w:t>
      </w:r>
      <w:r w:rsidR="0085432F">
        <w:rPr>
          <w:rFonts w:ascii="Verdana" w:eastAsia="PMingLiU" w:hAnsi="Verdana"/>
          <w:szCs w:val="22"/>
          <w:lang w:eastAsia="en-US"/>
        </w:rPr>
        <w:t xml:space="preserve"> HTVA</w:t>
      </w:r>
      <w:r w:rsidRPr="00B339C8">
        <w:rPr>
          <w:rFonts w:ascii="Verdana" w:eastAsia="PMingLiU" w:hAnsi="Verdana"/>
          <w:szCs w:val="22"/>
          <w:lang w:eastAsia="en-US"/>
        </w:rPr>
        <w:t xml:space="preserve"> lié aux activités des champs d’application décrits dans </w:t>
      </w:r>
      <w:r w:rsidRPr="00B339C8">
        <w:rPr>
          <w:rFonts w:ascii="Verdana" w:eastAsia="PMingLiU" w:hAnsi="Verdana"/>
          <w:szCs w:val="22"/>
        </w:rPr>
        <w:t>l’appel</w:t>
      </w:r>
      <w:r w:rsidRPr="00B339C8">
        <w:rPr>
          <w:rFonts w:ascii="Verdana" w:hAnsi="Verdana"/>
          <w:szCs w:val="22"/>
        </w:rPr>
        <w:t> ;</w:t>
      </w:r>
    </w:p>
    <w:p w14:paraId="0584B355" w14:textId="77777777" w:rsidR="00DF5AAA" w:rsidRPr="00DF5AAA" w:rsidRDefault="00DF5AAA" w:rsidP="00DF5AAA">
      <w:pPr>
        <w:pStyle w:val="Paragraphedeliste"/>
        <w:rPr>
          <w:rFonts w:ascii="Verdana" w:hAnsi="Verdana"/>
          <w:szCs w:val="22"/>
        </w:rPr>
      </w:pPr>
    </w:p>
    <w:bookmarkEnd w:id="4"/>
    <w:p w14:paraId="3EEB8C64" w14:textId="2E4321C2" w:rsidR="00486FBD" w:rsidRDefault="00486FBD" w:rsidP="00486FBD">
      <w:pPr>
        <w:pStyle w:val="Paragraphedeliste"/>
        <w:spacing w:before="120"/>
        <w:ind w:left="0"/>
        <w:rPr>
          <w:rFonts w:ascii="Verdana" w:hAnsi="Verdana"/>
        </w:rPr>
      </w:pPr>
      <w:r w:rsidRPr="006852DA">
        <w:rPr>
          <w:rFonts w:ascii="Verdana" w:hAnsi="Verdana"/>
        </w:rPr>
        <w:t xml:space="preserve">En cas de partenariat, le candidat doit fournir les renseignements et </w:t>
      </w:r>
      <w:r>
        <w:rPr>
          <w:rFonts w:ascii="Verdana" w:hAnsi="Verdana"/>
        </w:rPr>
        <w:t xml:space="preserve">le </w:t>
      </w:r>
      <w:r w:rsidRPr="006852DA">
        <w:rPr>
          <w:rFonts w:ascii="Verdana" w:hAnsi="Verdana"/>
        </w:rPr>
        <w:t xml:space="preserve">document </w:t>
      </w:r>
      <w:r>
        <w:rPr>
          <w:rFonts w:ascii="Verdana" w:hAnsi="Verdana"/>
        </w:rPr>
        <w:t>cité</w:t>
      </w:r>
      <w:r w:rsidR="002E6CF6">
        <w:rPr>
          <w:rFonts w:ascii="Verdana" w:hAnsi="Verdana"/>
        </w:rPr>
        <w:t xml:space="preserve"> ci-dessus</w:t>
      </w:r>
      <w:r w:rsidRPr="006852DA">
        <w:rPr>
          <w:rFonts w:ascii="Verdana" w:hAnsi="Verdana"/>
        </w:rPr>
        <w:t xml:space="preserve"> pour chaque partenaire. L’évaluation de la capacité </w:t>
      </w:r>
      <w:r>
        <w:rPr>
          <w:rFonts w:ascii="Verdana" w:hAnsi="Verdana"/>
        </w:rPr>
        <w:t>budgétaire et financière</w:t>
      </w:r>
      <w:r w:rsidRPr="006852DA">
        <w:rPr>
          <w:rFonts w:ascii="Verdana" w:hAnsi="Verdana"/>
        </w:rPr>
        <w:t xml:space="preserve"> étant réalisée sur base de la globalisation des documents. </w:t>
      </w:r>
    </w:p>
    <w:p w14:paraId="2FDBE43A" w14:textId="77777777" w:rsidR="006852DA" w:rsidRPr="00B339C8" w:rsidRDefault="006852DA" w:rsidP="006852DA">
      <w:pPr>
        <w:pStyle w:val="Paragraphedeliste"/>
        <w:rPr>
          <w:rFonts w:ascii="Verdana" w:hAnsi="Verdana"/>
          <w:szCs w:val="22"/>
        </w:rPr>
      </w:pPr>
    </w:p>
    <w:p w14:paraId="4ABAF223" w14:textId="43690B1D" w:rsidR="00657593" w:rsidRDefault="006852DA" w:rsidP="00115D06">
      <w:r w:rsidRPr="00B339C8">
        <w:t xml:space="preserve">Pour les </w:t>
      </w:r>
      <w:r>
        <w:t>organismes du secteur public</w:t>
      </w:r>
      <w:r w:rsidRPr="00B339C8">
        <w:t xml:space="preserve"> soumettant un projet, tous les documents demandés ci-dessus (du point 1 au point 7) doivent être remis lors de la conclusion du marché public d’attribution des </w:t>
      </w:r>
      <w:r w:rsidR="00486FBD">
        <w:t xml:space="preserve">études et des </w:t>
      </w:r>
      <w:r w:rsidRPr="00B339C8">
        <w:t xml:space="preserve">travaux, excepté si le candidat a d’ores et déjà contracté un </w:t>
      </w:r>
      <w:r>
        <w:t>marché public</w:t>
      </w:r>
      <w:r w:rsidRPr="00B339C8">
        <w:t xml:space="preserve"> pour les </w:t>
      </w:r>
      <w:r w:rsidR="00486FBD">
        <w:t xml:space="preserve">études et les </w:t>
      </w:r>
      <w:r w:rsidRPr="00B339C8">
        <w:t>travaux du projet.</w:t>
      </w:r>
    </w:p>
    <w:p w14:paraId="018200E6" w14:textId="77777777" w:rsidR="00C04EB4" w:rsidRDefault="00C04EB4" w:rsidP="00C04EB4"/>
    <w:tbl>
      <w:tblPr>
        <w:tblStyle w:val="TableauGrille4-Accentuation1"/>
        <w:tblW w:w="9493" w:type="dxa"/>
        <w:tblLook w:val="04A0" w:firstRow="1" w:lastRow="0" w:firstColumn="1" w:lastColumn="0" w:noHBand="0" w:noVBand="1"/>
      </w:tblPr>
      <w:tblGrid>
        <w:gridCol w:w="9493"/>
      </w:tblGrid>
      <w:tr w:rsidR="00C04EB4" w14:paraId="4874999D" w14:textId="77777777" w:rsidTr="00C04EB4">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493" w:type="dxa"/>
          </w:tcPr>
          <w:p w14:paraId="19B85012" w14:textId="77777777" w:rsidR="00C04EB4" w:rsidRDefault="00C04EB4" w:rsidP="00C04EB4">
            <w:pPr>
              <w:rPr>
                <w:b w:val="0"/>
                <w:bCs w:val="0"/>
              </w:rPr>
            </w:pPr>
            <w:r w:rsidRPr="00EA27CE">
              <w:t>Afin de standardiser les noms des fichiers. Il est demandé au candidat ce qui suit :</w:t>
            </w:r>
          </w:p>
          <w:p w14:paraId="4EE48B4B" w14:textId="77777777" w:rsidR="00C04EB4" w:rsidRDefault="00C04EB4" w:rsidP="00C04EB4">
            <w:pPr>
              <w:rPr>
                <w:b w:val="0"/>
                <w:bCs w:val="0"/>
              </w:rPr>
            </w:pPr>
          </w:p>
          <w:p w14:paraId="30C0A466" w14:textId="77777777" w:rsidR="00C04EB4" w:rsidRDefault="00C04EB4" w:rsidP="00C04EB4">
            <w:pPr>
              <w:rPr>
                <w:b w:val="0"/>
                <w:bCs w:val="0"/>
              </w:rPr>
            </w:pPr>
            <w:r w:rsidRPr="00EA27CE">
              <w:t>Chaque fichier informatique doit être identifié clairement comme suit :</w:t>
            </w:r>
          </w:p>
          <w:p w14:paraId="696FA2F6" w14:textId="77777777" w:rsidR="00C04EB4" w:rsidRDefault="00C04EB4" w:rsidP="00C04EB4">
            <w:pPr>
              <w:rPr>
                <w:b w:val="0"/>
                <w:bCs w:val="0"/>
              </w:rPr>
            </w:pPr>
          </w:p>
          <w:p w14:paraId="7ACBA343" w14:textId="1ADC9FC8" w:rsidR="00C04EB4" w:rsidRDefault="00C04EB4" w:rsidP="00C04EB4">
            <w:pPr>
              <w:rPr>
                <w:b w:val="0"/>
                <w:bCs w:val="0"/>
              </w:rPr>
            </w:pPr>
            <w:r w:rsidRPr="00EA27CE">
              <w:t xml:space="preserve">Annexe </w:t>
            </w:r>
            <w:r>
              <w:t>2</w:t>
            </w:r>
            <w:r w:rsidRPr="00EA27CE">
              <w:t>_critère de</w:t>
            </w:r>
            <w:r>
              <w:t xml:space="preserve"> sélection 1</w:t>
            </w:r>
            <w:r w:rsidRPr="00EA27CE">
              <w:t> </w:t>
            </w:r>
          </w:p>
          <w:p w14:paraId="1CEA88AF" w14:textId="2477FEF6" w:rsidR="00C04EB4" w:rsidRPr="00C04EB4" w:rsidRDefault="00C04EB4" w:rsidP="00C04EB4">
            <w:pPr>
              <w:rPr>
                <w:b w:val="0"/>
                <w:bCs w:val="0"/>
              </w:rPr>
            </w:pPr>
            <w:r w:rsidRPr="00EA27CE">
              <w:t xml:space="preserve">Annexe </w:t>
            </w:r>
            <w:r>
              <w:t>2</w:t>
            </w:r>
            <w:r w:rsidRPr="00EA27CE">
              <w:t>_critère de</w:t>
            </w:r>
            <w:r>
              <w:t xml:space="preserve"> sélection 2</w:t>
            </w:r>
          </w:p>
          <w:p w14:paraId="13B3E76D" w14:textId="77777777" w:rsidR="00C04EB4" w:rsidRDefault="00C04EB4" w:rsidP="00C04EB4">
            <w:pPr>
              <w:rPr>
                <w:b w:val="0"/>
                <w:bCs w:val="0"/>
              </w:rPr>
            </w:pPr>
            <w:r w:rsidRPr="00EA27CE">
              <w:t xml:space="preserve">Annexe </w:t>
            </w:r>
            <w:r>
              <w:t>2</w:t>
            </w:r>
            <w:r w:rsidRPr="00EA27CE">
              <w:t>_critère de</w:t>
            </w:r>
            <w:r>
              <w:t xml:space="preserve"> sélection 3</w:t>
            </w:r>
          </w:p>
          <w:p w14:paraId="2957C662" w14:textId="77777777" w:rsidR="00C04EB4" w:rsidRDefault="00C04EB4" w:rsidP="00C04EB4">
            <w:pPr>
              <w:rPr>
                <w:b w:val="0"/>
                <w:bCs w:val="0"/>
              </w:rPr>
            </w:pPr>
            <w:r w:rsidRPr="00EA27CE">
              <w:t xml:space="preserve">Annexe </w:t>
            </w:r>
            <w:r>
              <w:t>2</w:t>
            </w:r>
            <w:r w:rsidRPr="00EA27CE">
              <w:t>_critère de</w:t>
            </w:r>
            <w:r>
              <w:t xml:space="preserve"> sélection 4</w:t>
            </w:r>
          </w:p>
          <w:p w14:paraId="31C5FC8D" w14:textId="77777777" w:rsidR="00C04EB4" w:rsidRDefault="00C04EB4" w:rsidP="00C04EB4">
            <w:pPr>
              <w:rPr>
                <w:b w:val="0"/>
                <w:bCs w:val="0"/>
              </w:rPr>
            </w:pPr>
            <w:r w:rsidRPr="00EA27CE">
              <w:t xml:space="preserve">Annexe </w:t>
            </w:r>
            <w:r>
              <w:t>2</w:t>
            </w:r>
            <w:r w:rsidRPr="00EA27CE">
              <w:t>_critère de</w:t>
            </w:r>
            <w:r>
              <w:t xml:space="preserve"> sélection 5</w:t>
            </w:r>
          </w:p>
          <w:p w14:paraId="14E96A72" w14:textId="77777777" w:rsidR="00C04EB4" w:rsidRDefault="00C04EB4" w:rsidP="00C04EB4">
            <w:pPr>
              <w:rPr>
                <w:b w:val="0"/>
                <w:bCs w:val="0"/>
              </w:rPr>
            </w:pPr>
            <w:r w:rsidRPr="00EA27CE">
              <w:t xml:space="preserve">Annexe </w:t>
            </w:r>
            <w:r>
              <w:t>2</w:t>
            </w:r>
            <w:r w:rsidRPr="00EA27CE">
              <w:t>_critère de</w:t>
            </w:r>
            <w:r>
              <w:t xml:space="preserve"> sélection 6</w:t>
            </w:r>
          </w:p>
          <w:p w14:paraId="07F45807" w14:textId="3FD3BE28" w:rsidR="00C04EB4" w:rsidRDefault="00C04EB4" w:rsidP="00C04EB4">
            <w:pPr>
              <w:rPr>
                <w:b w:val="0"/>
                <w:bCs w:val="0"/>
              </w:rPr>
            </w:pPr>
            <w:r w:rsidRPr="00EA27CE">
              <w:t xml:space="preserve">Annexe </w:t>
            </w:r>
            <w:r>
              <w:t>2</w:t>
            </w:r>
            <w:r w:rsidRPr="00EA27CE">
              <w:t>_critère de</w:t>
            </w:r>
            <w:r>
              <w:t xml:space="preserve"> sélection 7</w:t>
            </w:r>
            <w:r w:rsidRPr="00EA27CE">
              <w:t> </w:t>
            </w:r>
          </w:p>
          <w:p w14:paraId="21F82A1F" w14:textId="3098CCA1" w:rsidR="00C04EB4" w:rsidRDefault="00C04EB4" w:rsidP="00C04EB4"/>
        </w:tc>
      </w:tr>
    </w:tbl>
    <w:p w14:paraId="228B9BE2" w14:textId="77777777" w:rsidR="00657593" w:rsidRDefault="00657593" w:rsidP="00115D06"/>
    <w:p w14:paraId="6FB2FCCE" w14:textId="77777777" w:rsidR="00115D06" w:rsidRDefault="00115D06" w:rsidP="00115D06"/>
    <w:p w14:paraId="542E641C" w14:textId="3B3DCBD4" w:rsidR="00115D06" w:rsidRDefault="00115D06" w:rsidP="00115D06">
      <w:pPr>
        <w:spacing w:after="0"/>
        <w:jc w:val="left"/>
      </w:pPr>
    </w:p>
    <w:p w14:paraId="17E73883" w14:textId="77777777" w:rsidR="00115D06" w:rsidRDefault="00115D06" w:rsidP="00115D06">
      <w:pPr>
        <w:spacing w:after="0"/>
        <w:jc w:val="left"/>
      </w:pPr>
    </w:p>
    <w:p w14:paraId="0C9915F3" w14:textId="213CD3A7" w:rsidR="004644BC" w:rsidRPr="002E5EF7" w:rsidRDefault="004644BC" w:rsidP="009C61D3">
      <w:pPr>
        <w:spacing w:after="0"/>
        <w:jc w:val="left"/>
      </w:pPr>
    </w:p>
    <w:p w14:paraId="3ECF0E0F" w14:textId="051B2527" w:rsidR="00115D06" w:rsidRDefault="00115D06" w:rsidP="00115D06">
      <w:pPr>
        <w:spacing w:after="0"/>
        <w:ind w:left="-1857" w:right="1877"/>
        <w:jc w:val="left"/>
      </w:pPr>
    </w:p>
    <w:p w14:paraId="7D6CF78C" w14:textId="77777777" w:rsidR="00C04EB4" w:rsidRDefault="00C04EB4" w:rsidP="00115D06">
      <w:pPr>
        <w:spacing w:after="0"/>
        <w:ind w:left="-1857" w:right="1877"/>
        <w:jc w:val="left"/>
      </w:pPr>
    </w:p>
    <w:sectPr w:rsidR="00C04EB4" w:rsidSect="002A2E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C466" w14:textId="77777777" w:rsidR="0065551E" w:rsidRDefault="0065551E" w:rsidP="0065551E">
      <w:pPr>
        <w:spacing w:after="0" w:line="240" w:lineRule="auto"/>
      </w:pPr>
      <w:r>
        <w:separator/>
      </w:r>
    </w:p>
  </w:endnote>
  <w:endnote w:type="continuationSeparator" w:id="0">
    <w:p w14:paraId="767AB0DF" w14:textId="77777777" w:rsidR="0065551E" w:rsidRDefault="0065551E" w:rsidP="0065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904EA9" w14:paraId="165C3835" w14:textId="77777777">
      <w:trPr>
        <w:jc w:val="right"/>
      </w:trPr>
      <w:tc>
        <w:tcPr>
          <w:tcW w:w="4795" w:type="dxa"/>
          <w:vAlign w:val="center"/>
        </w:tcPr>
        <w:sdt>
          <w:sdtPr>
            <w:rPr>
              <w:color w:val="000000" w:themeColor="text1"/>
              <w:sz w:val="18"/>
              <w:szCs w:val="18"/>
            </w:rPr>
            <w:alias w:val="Auteur"/>
            <w:tag w:val=""/>
            <w:id w:val="1534539408"/>
            <w:placeholder>
              <w:docPart w:val="C2B2299C1E1448AC8198C30EB20C9A40"/>
            </w:placeholder>
            <w:dataBinding w:prefixMappings="xmlns:ns0='http://purl.org/dc/elements/1.1/' xmlns:ns1='http://schemas.openxmlformats.org/package/2006/metadata/core-properties' " w:xpath="/ns1:coreProperties[1]/ns0:creator[1]" w:storeItemID="{6C3C8BC8-F283-45AE-878A-BAB7291924A1}"/>
            <w:text/>
          </w:sdtPr>
          <w:sdtEndPr/>
          <w:sdtContent>
            <w:p w14:paraId="7E19ADD1" w14:textId="24F20CA5" w:rsidR="00904EA9" w:rsidRDefault="00904EA9">
              <w:pPr>
                <w:pStyle w:val="En-tte"/>
                <w:jc w:val="right"/>
                <w:rPr>
                  <w:caps/>
                  <w:color w:val="000000" w:themeColor="text1"/>
                </w:rPr>
              </w:pPr>
              <w:r w:rsidRPr="00904EA9">
                <w:rPr>
                  <w:color w:val="000000" w:themeColor="text1"/>
                  <w:sz w:val="18"/>
                  <w:szCs w:val="18"/>
                </w:rPr>
                <w:t xml:space="preserve">SPW Energie_ Annexe </w:t>
              </w:r>
              <w:r>
                <w:rPr>
                  <w:color w:val="000000" w:themeColor="text1"/>
                  <w:sz w:val="18"/>
                  <w:szCs w:val="18"/>
                </w:rPr>
                <w:t>2</w:t>
              </w:r>
              <w:r w:rsidRPr="00904EA9">
                <w:rPr>
                  <w:color w:val="000000" w:themeColor="text1"/>
                  <w:sz w:val="18"/>
                  <w:szCs w:val="18"/>
                </w:rPr>
                <w:t xml:space="preserve"> Critères d</w:t>
              </w:r>
              <w:r>
                <w:rPr>
                  <w:color w:val="000000" w:themeColor="text1"/>
                  <w:sz w:val="18"/>
                  <w:szCs w:val="18"/>
                </w:rPr>
                <w:t>e sélection</w:t>
              </w:r>
              <w:r w:rsidRPr="00904EA9">
                <w:rPr>
                  <w:color w:val="000000" w:themeColor="text1"/>
                  <w:sz w:val="18"/>
                  <w:szCs w:val="18"/>
                </w:rPr>
                <w:t>_ Appel à projets géothermie 2022</w:t>
              </w:r>
            </w:p>
          </w:sdtContent>
        </w:sdt>
      </w:tc>
      <w:tc>
        <w:tcPr>
          <w:tcW w:w="250" w:type="pct"/>
          <w:shd w:val="clear" w:color="auto" w:fill="C0504D" w:themeFill="accent2"/>
          <w:vAlign w:val="center"/>
        </w:tcPr>
        <w:p w14:paraId="3A2E1EB1" w14:textId="77777777" w:rsidR="00904EA9" w:rsidRDefault="00904EA9">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fr-FR"/>
            </w:rPr>
            <w:t>2</w:t>
          </w:r>
          <w:r>
            <w:rPr>
              <w:color w:val="FFFFFF" w:themeColor="background1"/>
            </w:rPr>
            <w:fldChar w:fldCharType="end"/>
          </w:r>
        </w:p>
      </w:tc>
    </w:tr>
  </w:tbl>
  <w:p w14:paraId="2F63A444" w14:textId="77777777" w:rsidR="006653E9" w:rsidRDefault="006653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CDE6" w14:textId="77777777" w:rsidR="0065551E" w:rsidRDefault="0065551E" w:rsidP="0065551E">
      <w:pPr>
        <w:spacing w:after="0" w:line="240" w:lineRule="auto"/>
      </w:pPr>
      <w:r>
        <w:separator/>
      </w:r>
    </w:p>
  </w:footnote>
  <w:footnote w:type="continuationSeparator" w:id="0">
    <w:p w14:paraId="403630A0" w14:textId="77777777" w:rsidR="0065551E" w:rsidRDefault="0065551E" w:rsidP="00655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EE4"/>
    <w:multiLevelType w:val="hybridMultilevel"/>
    <w:tmpl w:val="12F6E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281C50"/>
    <w:multiLevelType w:val="multilevel"/>
    <w:tmpl w:val="C686A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2E0F19"/>
    <w:multiLevelType w:val="hybridMultilevel"/>
    <w:tmpl w:val="BB8C6F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534D41"/>
    <w:multiLevelType w:val="hybridMultilevel"/>
    <w:tmpl w:val="0BE246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8FE46D1"/>
    <w:multiLevelType w:val="hybridMultilevel"/>
    <w:tmpl w:val="AFACF4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BA210F2"/>
    <w:multiLevelType w:val="hybridMultilevel"/>
    <w:tmpl w:val="A3E054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E244F97"/>
    <w:multiLevelType w:val="hybridMultilevel"/>
    <w:tmpl w:val="59C2E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F1C02DB"/>
    <w:multiLevelType w:val="hybridMultilevel"/>
    <w:tmpl w:val="E43A00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C31681E"/>
    <w:multiLevelType w:val="hybridMultilevel"/>
    <w:tmpl w:val="5CF69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5E5B94"/>
    <w:multiLevelType w:val="hybridMultilevel"/>
    <w:tmpl w:val="E274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9C325B"/>
    <w:multiLevelType w:val="hybridMultilevel"/>
    <w:tmpl w:val="8196DE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3C06A28"/>
    <w:multiLevelType w:val="hybridMultilevel"/>
    <w:tmpl w:val="C472D2C0"/>
    <w:lvl w:ilvl="0" w:tplc="4D2C092A">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40833A5"/>
    <w:multiLevelType w:val="multilevel"/>
    <w:tmpl w:val="FC88B090"/>
    <w:lvl w:ilvl="0">
      <w:start w:val="1"/>
      <w:numFmt w:val="decimal"/>
      <w:lvlText w:val="%1."/>
      <w:lvlJc w:val="left"/>
      <w:pPr>
        <w:ind w:left="720" w:hanging="360"/>
      </w:pPr>
      <w:rPr>
        <w:rFonts w:hint="default"/>
      </w:rPr>
    </w:lvl>
    <w:lvl w:ilvl="1">
      <w:start w:val="1"/>
      <w:numFmt w:val="decimal"/>
      <w:pStyle w:val="Titre3"/>
      <w:isLgl/>
      <w:lvlText w:val="%1.%2."/>
      <w:lvlJc w:val="left"/>
      <w:pPr>
        <w:ind w:left="3272" w:hanging="720"/>
      </w:pPr>
      <w:rPr>
        <w:rFonts w:eastAsiaTheme="minorHAnsi" w:hint="default"/>
      </w:rPr>
    </w:lvl>
    <w:lvl w:ilvl="2">
      <w:start w:val="1"/>
      <w:numFmt w:val="decimal"/>
      <w:isLgl/>
      <w:lvlText w:val="%1.%2.%3."/>
      <w:lvlJc w:val="left"/>
      <w:pPr>
        <w:ind w:left="1440" w:hanging="108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2160" w:hanging="1800"/>
      </w:pPr>
      <w:rPr>
        <w:rFonts w:eastAsiaTheme="minorHAnsi" w:hint="default"/>
      </w:rPr>
    </w:lvl>
    <w:lvl w:ilvl="6">
      <w:start w:val="1"/>
      <w:numFmt w:val="decimal"/>
      <w:isLgl/>
      <w:lvlText w:val="%1.%2.%3.%4.%5.%6.%7."/>
      <w:lvlJc w:val="left"/>
      <w:pPr>
        <w:ind w:left="2520" w:hanging="2160"/>
      </w:pPr>
      <w:rPr>
        <w:rFonts w:eastAsiaTheme="minorHAnsi" w:hint="default"/>
      </w:rPr>
    </w:lvl>
    <w:lvl w:ilvl="7">
      <w:start w:val="1"/>
      <w:numFmt w:val="decimal"/>
      <w:isLgl/>
      <w:lvlText w:val="%1.%2.%3.%4.%5.%6.%7.%8."/>
      <w:lvlJc w:val="left"/>
      <w:pPr>
        <w:ind w:left="2520" w:hanging="2160"/>
      </w:pPr>
      <w:rPr>
        <w:rFonts w:eastAsiaTheme="minorHAnsi" w:hint="default"/>
      </w:rPr>
    </w:lvl>
    <w:lvl w:ilvl="8">
      <w:start w:val="1"/>
      <w:numFmt w:val="decimal"/>
      <w:isLgl/>
      <w:lvlText w:val="%1.%2.%3.%4.%5.%6.%7.%8.%9."/>
      <w:lvlJc w:val="left"/>
      <w:pPr>
        <w:ind w:left="2880" w:hanging="2520"/>
      </w:pPr>
      <w:rPr>
        <w:rFonts w:eastAsiaTheme="minorHAnsi" w:hint="default"/>
      </w:rPr>
    </w:lvl>
  </w:abstractNum>
  <w:abstractNum w:abstractNumId="13" w15:restartNumberingAfterBreak="0">
    <w:nsid w:val="498B23AA"/>
    <w:multiLevelType w:val="hybridMultilevel"/>
    <w:tmpl w:val="C568B066"/>
    <w:lvl w:ilvl="0" w:tplc="080C000B">
      <w:start w:val="1"/>
      <w:numFmt w:val="bullet"/>
      <w:lvlText w:val=""/>
      <w:lvlJc w:val="left"/>
      <w:pPr>
        <w:ind w:left="1058" w:hanging="360"/>
      </w:pPr>
      <w:rPr>
        <w:rFonts w:ascii="Wingdings" w:hAnsi="Wingdings"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14" w15:restartNumberingAfterBreak="0">
    <w:nsid w:val="50691999"/>
    <w:multiLevelType w:val="multilevel"/>
    <w:tmpl w:val="2650456C"/>
    <w:lvl w:ilvl="0">
      <w:start w:val="1"/>
      <w:numFmt w:val="decimal"/>
      <w:lvlText w:val="%1."/>
      <w:lvlJc w:val="left"/>
      <w:pPr>
        <w:ind w:left="1068" w:hanging="360"/>
      </w:pPr>
    </w:lvl>
    <w:lvl w:ilvl="1">
      <w:start w:val="1"/>
      <w:numFmt w:val="decimal"/>
      <w:isLgl/>
      <w:lvlText w:val="%1.%2"/>
      <w:lvlJc w:val="left"/>
      <w:pPr>
        <w:ind w:left="-633" w:hanging="360"/>
      </w:pPr>
      <w:rPr>
        <w:rFonts w:hint="default"/>
      </w:rPr>
    </w:lvl>
    <w:lvl w:ilvl="2">
      <w:start w:val="1"/>
      <w:numFmt w:val="decimal"/>
      <w:isLgl/>
      <w:lvlText w:val="%1.%2.%3"/>
      <w:lvlJc w:val="left"/>
      <w:pPr>
        <w:ind w:left="-402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3665"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305" w:hanging="144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2945" w:hanging="1800"/>
      </w:pPr>
      <w:rPr>
        <w:rFonts w:hint="default"/>
      </w:rPr>
    </w:lvl>
  </w:abstractNum>
  <w:abstractNum w:abstractNumId="15" w15:restartNumberingAfterBreak="0">
    <w:nsid w:val="573D0588"/>
    <w:multiLevelType w:val="hybridMultilevel"/>
    <w:tmpl w:val="56F80436"/>
    <w:lvl w:ilvl="0" w:tplc="080C0001">
      <w:start w:val="1"/>
      <w:numFmt w:val="bullet"/>
      <w:lvlText w:val=""/>
      <w:lvlJc w:val="left"/>
      <w:pPr>
        <w:ind w:left="1859" w:hanging="360"/>
      </w:pPr>
      <w:rPr>
        <w:rFonts w:ascii="Symbol" w:hAnsi="Symbol" w:hint="default"/>
      </w:rPr>
    </w:lvl>
    <w:lvl w:ilvl="1" w:tplc="080C0003" w:tentative="1">
      <w:start w:val="1"/>
      <w:numFmt w:val="bullet"/>
      <w:lvlText w:val="o"/>
      <w:lvlJc w:val="left"/>
      <w:pPr>
        <w:ind w:left="2579" w:hanging="360"/>
      </w:pPr>
      <w:rPr>
        <w:rFonts w:ascii="Courier New" w:hAnsi="Courier New" w:cs="Courier New" w:hint="default"/>
      </w:rPr>
    </w:lvl>
    <w:lvl w:ilvl="2" w:tplc="080C0005" w:tentative="1">
      <w:start w:val="1"/>
      <w:numFmt w:val="bullet"/>
      <w:lvlText w:val=""/>
      <w:lvlJc w:val="left"/>
      <w:pPr>
        <w:ind w:left="3299" w:hanging="360"/>
      </w:pPr>
      <w:rPr>
        <w:rFonts w:ascii="Wingdings" w:hAnsi="Wingdings" w:hint="default"/>
      </w:rPr>
    </w:lvl>
    <w:lvl w:ilvl="3" w:tplc="080C0001" w:tentative="1">
      <w:start w:val="1"/>
      <w:numFmt w:val="bullet"/>
      <w:lvlText w:val=""/>
      <w:lvlJc w:val="left"/>
      <w:pPr>
        <w:ind w:left="4019" w:hanging="360"/>
      </w:pPr>
      <w:rPr>
        <w:rFonts w:ascii="Symbol" w:hAnsi="Symbol" w:hint="default"/>
      </w:rPr>
    </w:lvl>
    <w:lvl w:ilvl="4" w:tplc="080C0003" w:tentative="1">
      <w:start w:val="1"/>
      <w:numFmt w:val="bullet"/>
      <w:lvlText w:val="o"/>
      <w:lvlJc w:val="left"/>
      <w:pPr>
        <w:ind w:left="4739" w:hanging="360"/>
      </w:pPr>
      <w:rPr>
        <w:rFonts w:ascii="Courier New" w:hAnsi="Courier New" w:cs="Courier New" w:hint="default"/>
      </w:rPr>
    </w:lvl>
    <w:lvl w:ilvl="5" w:tplc="080C0005" w:tentative="1">
      <w:start w:val="1"/>
      <w:numFmt w:val="bullet"/>
      <w:lvlText w:val=""/>
      <w:lvlJc w:val="left"/>
      <w:pPr>
        <w:ind w:left="5459" w:hanging="360"/>
      </w:pPr>
      <w:rPr>
        <w:rFonts w:ascii="Wingdings" w:hAnsi="Wingdings" w:hint="default"/>
      </w:rPr>
    </w:lvl>
    <w:lvl w:ilvl="6" w:tplc="080C0001" w:tentative="1">
      <w:start w:val="1"/>
      <w:numFmt w:val="bullet"/>
      <w:lvlText w:val=""/>
      <w:lvlJc w:val="left"/>
      <w:pPr>
        <w:ind w:left="6179" w:hanging="360"/>
      </w:pPr>
      <w:rPr>
        <w:rFonts w:ascii="Symbol" w:hAnsi="Symbol" w:hint="default"/>
      </w:rPr>
    </w:lvl>
    <w:lvl w:ilvl="7" w:tplc="080C0003" w:tentative="1">
      <w:start w:val="1"/>
      <w:numFmt w:val="bullet"/>
      <w:lvlText w:val="o"/>
      <w:lvlJc w:val="left"/>
      <w:pPr>
        <w:ind w:left="6899" w:hanging="360"/>
      </w:pPr>
      <w:rPr>
        <w:rFonts w:ascii="Courier New" w:hAnsi="Courier New" w:cs="Courier New" w:hint="default"/>
      </w:rPr>
    </w:lvl>
    <w:lvl w:ilvl="8" w:tplc="080C0005" w:tentative="1">
      <w:start w:val="1"/>
      <w:numFmt w:val="bullet"/>
      <w:lvlText w:val=""/>
      <w:lvlJc w:val="left"/>
      <w:pPr>
        <w:ind w:left="7619" w:hanging="360"/>
      </w:pPr>
      <w:rPr>
        <w:rFonts w:ascii="Wingdings" w:hAnsi="Wingdings" w:hint="default"/>
      </w:rPr>
    </w:lvl>
  </w:abstractNum>
  <w:abstractNum w:abstractNumId="16" w15:restartNumberingAfterBreak="0">
    <w:nsid w:val="622162AC"/>
    <w:multiLevelType w:val="hybridMultilevel"/>
    <w:tmpl w:val="7DDA761C"/>
    <w:lvl w:ilvl="0" w:tplc="5640409C">
      <w:start w:val="1"/>
      <w:numFmt w:val="upperLetter"/>
      <w:pStyle w:val="Style1"/>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66F762DC"/>
    <w:multiLevelType w:val="hybridMultilevel"/>
    <w:tmpl w:val="B296A2AC"/>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8" w15:restartNumberingAfterBreak="0">
    <w:nsid w:val="6AC01F14"/>
    <w:multiLevelType w:val="hybridMultilevel"/>
    <w:tmpl w:val="D3CA92BA"/>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6EC2684F"/>
    <w:multiLevelType w:val="hybridMultilevel"/>
    <w:tmpl w:val="BA060446"/>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0" w15:restartNumberingAfterBreak="0">
    <w:nsid w:val="6F8B6C0C"/>
    <w:multiLevelType w:val="hybridMultilevel"/>
    <w:tmpl w:val="3E2ED23C"/>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6FD46D26"/>
    <w:multiLevelType w:val="multilevel"/>
    <w:tmpl w:val="CEC29756"/>
    <w:lvl w:ilvl="0">
      <w:start w:val="1"/>
      <w:numFmt w:val="lowerLetter"/>
      <w:lvlText w:val="%1)"/>
      <w:lvlJc w:val="left"/>
      <w:pPr>
        <w:tabs>
          <w:tab w:val="num" w:pos="720"/>
        </w:tabs>
        <w:ind w:left="720" w:hanging="360"/>
      </w:pPr>
      <w:rPr>
        <w:rFonts w:hint="default"/>
        <w:color w:val="000000"/>
        <w:sz w:val="20"/>
      </w:rPr>
    </w:lvl>
    <w:lvl w:ilvl="1">
      <w:start w:val="1"/>
      <w:numFmt w:val="lowerLetter"/>
      <w:lvlText w:val="%2)"/>
      <w:lvlJc w:val="left"/>
      <w:pPr>
        <w:ind w:left="1440" w:hanging="360"/>
      </w:pPr>
      <w:rPr>
        <w:rFonts w:hint="default"/>
        <w:color w:val="000000"/>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A287C"/>
    <w:multiLevelType w:val="hybridMultilevel"/>
    <w:tmpl w:val="D78A7A06"/>
    <w:lvl w:ilvl="0" w:tplc="B4ACD85A">
      <w:start w:val="1"/>
      <w:numFmt w:val="upperRoman"/>
      <w:pStyle w:val="Titre1"/>
      <w:lvlText w:val="%1."/>
      <w:lvlJc w:val="right"/>
      <w:pPr>
        <w:ind w:left="720" w:hanging="360"/>
      </w:pPr>
    </w:lvl>
    <w:lvl w:ilvl="1" w:tplc="46BE3C7C">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12"/>
  </w:num>
  <w:num w:numId="5">
    <w:abstractNumId w:val="0"/>
  </w:num>
  <w:num w:numId="6">
    <w:abstractNumId w:val="9"/>
  </w:num>
  <w:num w:numId="7">
    <w:abstractNumId w:val="16"/>
  </w:num>
  <w:num w:numId="8">
    <w:abstractNumId w:val="21"/>
  </w:num>
  <w:num w:numId="9">
    <w:abstractNumId w:val="15"/>
  </w:num>
  <w:num w:numId="10">
    <w:abstractNumId w:val="7"/>
  </w:num>
  <w:num w:numId="11">
    <w:abstractNumId w:val="8"/>
  </w:num>
  <w:num w:numId="12">
    <w:abstractNumId w:val="4"/>
  </w:num>
  <w:num w:numId="13">
    <w:abstractNumId w:val="20"/>
  </w:num>
  <w:num w:numId="14">
    <w:abstractNumId w:val="17"/>
  </w:num>
  <w:num w:numId="15">
    <w:abstractNumId w:val="18"/>
  </w:num>
  <w:num w:numId="16">
    <w:abstractNumId w:val="13"/>
  </w:num>
  <w:num w:numId="17">
    <w:abstractNumId w:val="19"/>
  </w:num>
  <w:num w:numId="18">
    <w:abstractNumId w:val="6"/>
  </w:num>
  <w:num w:numId="19">
    <w:abstractNumId w:val="10"/>
  </w:num>
  <w:num w:numId="20">
    <w:abstractNumId w:val="2"/>
  </w:num>
  <w:num w:numId="21">
    <w:abstractNumId w:val="3"/>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E"/>
    <w:rsid w:val="000F4709"/>
    <w:rsid w:val="00115D06"/>
    <w:rsid w:val="00137D95"/>
    <w:rsid w:val="001C65F8"/>
    <w:rsid w:val="002A2E86"/>
    <w:rsid w:val="002E6CF6"/>
    <w:rsid w:val="00335465"/>
    <w:rsid w:val="003E46A9"/>
    <w:rsid w:val="00415569"/>
    <w:rsid w:val="004459CD"/>
    <w:rsid w:val="004644BC"/>
    <w:rsid w:val="00486FBD"/>
    <w:rsid w:val="00544832"/>
    <w:rsid w:val="0065551E"/>
    <w:rsid w:val="00657593"/>
    <w:rsid w:val="006653E9"/>
    <w:rsid w:val="006852DA"/>
    <w:rsid w:val="006A593B"/>
    <w:rsid w:val="00704197"/>
    <w:rsid w:val="007E17DC"/>
    <w:rsid w:val="007F4F28"/>
    <w:rsid w:val="0081021C"/>
    <w:rsid w:val="00832F22"/>
    <w:rsid w:val="0085432F"/>
    <w:rsid w:val="00904EA9"/>
    <w:rsid w:val="009C52DC"/>
    <w:rsid w:val="009C61D3"/>
    <w:rsid w:val="00A54737"/>
    <w:rsid w:val="00C04EB4"/>
    <w:rsid w:val="00C11AF8"/>
    <w:rsid w:val="00C34575"/>
    <w:rsid w:val="00D751AA"/>
    <w:rsid w:val="00D96427"/>
    <w:rsid w:val="00DF5AAA"/>
    <w:rsid w:val="00E07E6E"/>
    <w:rsid w:val="00E83173"/>
    <w:rsid w:val="00F411A7"/>
    <w:rsid w:val="00FD6E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4A4BDC"/>
  <w15:chartTrackingRefBased/>
  <w15:docId w15:val="{25A33D7B-F9D8-4FE4-8ED8-B3BF6CA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E"/>
    <w:pPr>
      <w:jc w:val="both"/>
    </w:pPr>
    <w:rPr>
      <w:rFonts w:ascii="Verdana" w:hAnsi="Verdana"/>
    </w:rPr>
  </w:style>
  <w:style w:type="paragraph" w:styleId="Titre1">
    <w:name w:val="heading 1"/>
    <w:basedOn w:val="Normal"/>
    <w:next w:val="Normal"/>
    <w:link w:val="Titre1Car"/>
    <w:uiPriority w:val="9"/>
    <w:qFormat/>
    <w:rsid w:val="006852DA"/>
    <w:pPr>
      <w:keepNext/>
      <w:keepLines/>
      <w:numPr>
        <w:numId w:val="22"/>
      </w:numPr>
      <w:spacing w:before="240" w:after="0"/>
      <w:outlineLvl w:val="0"/>
    </w:pPr>
    <w:rPr>
      <w:rFonts w:eastAsiaTheme="majorEastAsia" w:cstheme="majorBidi"/>
      <w:b/>
      <w:bCs/>
      <w:sz w:val="24"/>
      <w:szCs w:val="24"/>
      <w:u w:val="single"/>
    </w:rPr>
  </w:style>
  <w:style w:type="paragraph" w:styleId="Titre2">
    <w:name w:val="heading 2"/>
    <w:basedOn w:val="Normal"/>
    <w:next w:val="Normal"/>
    <w:link w:val="Titre2Car"/>
    <w:autoRedefine/>
    <w:uiPriority w:val="9"/>
    <w:unhideWhenUsed/>
    <w:qFormat/>
    <w:rsid w:val="0085432F"/>
    <w:pPr>
      <w:keepNext/>
      <w:keepLines/>
      <w:spacing w:after="0" w:line="240" w:lineRule="auto"/>
      <w:jc w:val="center"/>
      <w:outlineLvl w:val="1"/>
    </w:pPr>
    <w:rPr>
      <w:rFonts w:eastAsiaTheme="majorEastAsia" w:cstheme="majorBidi"/>
      <w:b/>
      <w:bCs/>
      <w:sz w:val="32"/>
      <w:szCs w:val="32"/>
      <w:u w:val="single"/>
    </w:rPr>
  </w:style>
  <w:style w:type="paragraph" w:styleId="Titre3">
    <w:name w:val="heading 3"/>
    <w:basedOn w:val="Paragraphedeliste"/>
    <w:next w:val="Normal"/>
    <w:link w:val="Titre3Car"/>
    <w:uiPriority w:val="9"/>
    <w:unhideWhenUsed/>
    <w:qFormat/>
    <w:rsid w:val="0065551E"/>
    <w:pPr>
      <w:numPr>
        <w:ilvl w:val="1"/>
        <w:numId w:val="4"/>
      </w:numPr>
      <w:tabs>
        <w:tab w:val="num" w:pos="360"/>
      </w:tabs>
      <w:ind w:left="1418" w:firstLine="0"/>
      <w:outlineLvl w:val="2"/>
    </w:pPr>
    <w:rPr>
      <w:rFonts w:ascii="Verdana" w:hAnsi="Verdana"/>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5432F"/>
    <w:rPr>
      <w:rFonts w:ascii="Verdana" w:eastAsiaTheme="majorEastAsia" w:hAnsi="Verdana" w:cstheme="majorBidi"/>
      <w:b/>
      <w:bCs/>
      <w:sz w:val="32"/>
      <w:szCs w:val="32"/>
      <w:u w:val="single"/>
    </w:rPr>
  </w:style>
  <w:style w:type="character" w:customStyle="1" w:styleId="Titre3Car">
    <w:name w:val="Titre 3 Car"/>
    <w:basedOn w:val="Policepardfaut"/>
    <w:link w:val="Titre3"/>
    <w:uiPriority w:val="9"/>
    <w:rsid w:val="0065551E"/>
    <w:rPr>
      <w:rFonts w:ascii="Verdana" w:eastAsia="Times New Roman" w:hAnsi="Verdana" w:cs="Times New Roman"/>
      <w:szCs w:val="20"/>
      <w:u w:val="single"/>
      <w:lang w:eastAsia="fr-FR"/>
    </w:rPr>
  </w:style>
  <w:style w:type="paragraph" w:styleId="Paragraphedeliste">
    <w:name w:val="List Paragraph"/>
    <w:aliases w:val="Lettre d'introduction,Paragraphe,Paragraphe + puce,liste à numéros,Bullet 1,Liste Niveau 1,List Paragraph,Titre  3,Paragraphe de liste3,Bulleted Lijst,Bullet List Paragraph,List Paragraph1,Numbered paragraph 1,Paragrafo elenco"/>
    <w:basedOn w:val="Normal"/>
    <w:link w:val="ParagraphedelisteCar"/>
    <w:uiPriority w:val="34"/>
    <w:qFormat/>
    <w:rsid w:val="0065551E"/>
    <w:pPr>
      <w:spacing w:after="0" w:line="240" w:lineRule="auto"/>
      <w:ind w:left="720"/>
      <w:contextualSpacing/>
    </w:pPr>
    <w:rPr>
      <w:rFonts w:ascii="Arial" w:eastAsia="Times New Roman" w:hAnsi="Arial" w:cs="Times New Roman"/>
      <w:szCs w:val="20"/>
      <w:lang w:eastAsia="fr-FR"/>
    </w:rPr>
  </w:style>
  <w:style w:type="character" w:customStyle="1" w:styleId="ParagraphedelisteCar">
    <w:name w:val="Paragraphe de liste Car"/>
    <w:aliases w:val="Lettre d'introduction Car,Paragraphe Car,Paragraphe + puce Car,liste à numéros Car,Bullet 1 Car,Liste Niveau 1 Car,List Paragraph Car,Titre  3 Car,Paragraphe de liste3 Car,Bulleted Lijst Car,Bullet List Paragraph Car"/>
    <w:basedOn w:val="Policepardfaut"/>
    <w:link w:val="Paragraphedeliste"/>
    <w:uiPriority w:val="34"/>
    <w:qFormat/>
    <w:locked/>
    <w:rsid w:val="0065551E"/>
    <w:rPr>
      <w:rFonts w:ascii="Arial" w:eastAsia="Times New Roman" w:hAnsi="Arial" w:cs="Times New Roman"/>
      <w:szCs w:val="20"/>
      <w:lang w:eastAsia="fr-FR"/>
    </w:rPr>
  </w:style>
  <w:style w:type="paragraph" w:customStyle="1" w:styleId="Style1">
    <w:name w:val="Style1"/>
    <w:basedOn w:val="Normal"/>
    <w:rsid w:val="0065551E"/>
    <w:pPr>
      <w:numPr>
        <w:numId w:val="7"/>
      </w:numPr>
    </w:pPr>
  </w:style>
  <w:style w:type="paragraph" w:styleId="Textedebulles">
    <w:name w:val="Balloon Text"/>
    <w:basedOn w:val="Normal"/>
    <w:link w:val="TextedebullesCar"/>
    <w:uiPriority w:val="99"/>
    <w:semiHidden/>
    <w:unhideWhenUsed/>
    <w:rsid w:val="006555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51E"/>
    <w:rPr>
      <w:rFonts w:ascii="Segoe UI" w:hAnsi="Segoe UI" w:cs="Segoe UI"/>
      <w:sz w:val="18"/>
      <w:szCs w:val="18"/>
    </w:rPr>
  </w:style>
  <w:style w:type="character" w:styleId="Lienhypertexte">
    <w:name w:val="Hyperlink"/>
    <w:basedOn w:val="Policepardfaut"/>
    <w:uiPriority w:val="99"/>
    <w:unhideWhenUsed/>
    <w:rsid w:val="0065551E"/>
    <w:rPr>
      <w:color w:val="0000FF" w:themeColor="hyperlink"/>
      <w:u w:val="single"/>
    </w:rPr>
  </w:style>
  <w:style w:type="table" w:styleId="Grilledutableau">
    <w:name w:val="Table Grid"/>
    <w:basedOn w:val="TableauNormal"/>
    <w:uiPriority w:val="59"/>
    <w:rsid w:val="0011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15D06"/>
    <w:pPr>
      <w:spacing w:after="0" w:line="240" w:lineRule="auto"/>
    </w:pPr>
    <w:rPr>
      <w:sz w:val="20"/>
      <w:szCs w:val="20"/>
    </w:rPr>
  </w:style>
  <w:style w:type="character" w:customStyle="1" w:styleId="NotedebasdepageCar">
    <w:name w:val="Note de bas de page Car"/>
    <w:basedOn w:val="Policepardfaut"/>
    <w:link w:val="Notedebasdepage"/>
    <w:uiPriority w:val="99"/>
    <w:rsid w:val="00115D06"/>
    <w:rPr>
      <w:rFonts w:ascii="Verdana" w:hAnsi="Verdana"/>
      <w:sz w:val="20"/>
      <w:szCs w:val="20"/>
    </w:rPr>
  </w:style>
  <w:style w:type="character" w:styleId="Appelnotedebasdep">
    <w:name w:val="footnote reference"/>
    <w:basedOn w:val="Policepardfaut"/>
    <w:uiPriority w:val="99"/>
    <w:semiHidden/>
    <w:unhideWhenUsed/>
    <w:rsid w:val="00115D06"/>
    <w:rPr>
      <w:vertAlign w:val="superscript"/>
    </w:rPr>
  </w:style>
  <w:style w:type="paragraph" w:styleId="En-tte">
    <w:name w:val="header"/>
    <w:basedOn w:val="Normal"/>
    <w:link w:val="En-tteCar"/>
    <w:uiPriority w:val="99"/>
    <w:unhideWhenUsed/>
    <w:rsid w:val="00115D06"/>
    <w:pPr>
      <w:tabs>
        <w:tab w:val="center" w:pos="4536"/>
        <w:tab w:val="right" w:pos="9072"/>
      </w:tabs>
      <w:spacing w:after="0" w:line="240" w:lineRule="auto"/>
    </w:pPr>
  </w:style>
  <w:style w:type="character" w:customStyle="1" w:styleId="En-tteCar">
    <w:name w:val="En-tête Car"/>
    <w:basedOn w:val="Policepardfaut"/>
    <w:link w:val="En-tte"/>
    <w:uiPriority w:val="99"/>
    <w:rsid w:val="00115D06"/>
    <w:rPr>
      <w:rFonts w:ascii="Verdana" w:hAnsi="Verdana"/>
    </w:rPr>
  </w:style>
  <w:style w:type="paragraph" w:styleId="Pieddepage">
    <w:name w:val="footer"/>
    <w:basedOn w:val="Normal"/>
    <w:link w:val="PieddepageCar"/>
    <w:uiPriority w:val="99"/>
    <w:unhideWhenUsed/>
    <w:rsid w:val="00115D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D06"/>
    <w:rPr>
      <w:rFonts w:ascii="Verdana" w:hAnsi="Verdana"/>
    </w:rPr>
  </w:style>
  <w:style w:type="paragraph" w:customStyle="1" w:styleId="Default">
    <w:name w:val="Default"/>
    <w:rsid w:val="00C11AF8"/>
    <w:pPr>
      <w:autoSpaceDE w:val="0"/>
      <w:autoSpaceDN w:val="0"/>
      <w:adjustRightInd w:val="0"/>
      <w:spacing w:after="0" w:line="240" w:lineRule="auto"/>
    </w:pPr>
    <w:rPr>
      <w:rFonts w:ascii="Verdana" w:hAnsi="Verdana" w:cs="Verdana"/>
      <w:color w:val="000000"/>
      <w:sz w:val="24"/>
      <w:szCs w:val="24"/>
    </w:rPr>
  </w:style>
  <w:style w:type="character" w:customStyle="1" w:styleId="Titre1Car">
    <w:name w:val="Titre 1 Car"/>
    <w:basedOn w:val="Policepardfaut"/>
    <w:link w:val="Titre1"/>
    <w:uiPriority w:val="9"/>
    <w:rsid w:val="006852DA"/>
    <w:rPr>
      <w:rFonts w:ascii="Verdana" w:eastAsiaTheme="majorEastAsia" w:hAnsi="Verdana" w:cstheme="majorBidi"/>
      <w:b/>
      <w:bCs/>
      <w:sz w:val="24"/>
      <w:szCs w:val="24"/>
      <w:u w:val="single"/>
    </w:rPr>
  </w:style>
  <w:style w:type="table" w:styleId="TableauGrille4-Accentuation1">
    <w:name w:val="Grid Table 4 Accent 1"/>
    <w:basedOn w:val="TableauNormal"/>
    <w:uiPriority w:val="49"/>
    <w:rsid w:val="00C04EB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2299C1E1448AC8198C30EB20C9A40"/>
        <w:category>
          <w:name w:val="Général"/>
          <w:gallery w:val="placeholder"/>
        </w:category>
        <w:types>
          <w:type w:val="bbPlcHdr"/>
        </w:types>
        <w:behaviors>
          <w:behavior w:val="content"/>
        </w:behaviors>
        <w:guid w:val="{7D0D36FE-4EF1-4440-A7A2-9C1226A5F99C}"/>
      </w:docPartPr>
      <w:docPartBody>
        <w:p w:rsidR="00C7294D" w:rsidRDefault="00086DF6" w:rsidP="00086DF6">
          <w:pPr>
            <w:pStyle w:val="C2B2299C1E1448AC8198C30EB20C9A40"/>
          </w:pPr>
          <w:r>
            <w:rPr>
              <w:caps/>
              <w:color w:val="FFFFFF" w:themeColor="background1"/>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F6"/>
    <w:rsid w:val="00086DF6"/>
    <w:rsid w:val="00C729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B2299C1E1448AC8198C30EB20C9A40">
    <w:name w:val="C2B2299C1E1448AC8198C30EB20C9A40"/>
    <w:rsid w:val="00086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669</Words>
  <Characters>3682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SPW Energie_ Annexe 2 Critères de sélection_ Appel à projets géothermie 2022</dc:creator>
  <cp:keywords/>
  <dc:description/>
  <cp:lastModifiedBy>CHAOUI Sonya</cp:lastModifiedBy>
  <cp:revision>9</cp:revision>
  <dcterms:created xsi:type="dcterms:W3CDTF">2022-05-11T10:33:00Z</dcterms:created>
  <dcterms:modified xsi:type="dcterms:W3CDTF">2022-07-01T13:07:00Z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2021-06-04T10:27:32Z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d4cb17d8-818c-4bb4-b272-266ad3dcd960</vt:lpwstr>
  </property>
  <property fmtid="{D5CDD505-2E9C-101B-9397-08002B2CF9AE}" pid="8" name="MSIP_Label_97a477d1-147d-4e34-b5e3-7b26d2f44870_ContentBits">
    <vt:lpwstr>0</vt:lpwstr>
  </property>
</Properties>
</file>