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32" w:rsidRPr="002846BC" w:rsidRDefault="004F2A77" w:rsidP="005E6D7F">
      <w:pPr>
        <w:jc w:val="both"/>
        <w:rPr>
          <w:rFonts w:ascii="Century Gothic" w:hAnsi="Century Gothic"/>
        </w:rPr>
      </w:pPr>
      <w:r w:rsidRPr="002846BC">
        <w:rPr>
          <w:rFonts w:ascii="Century Gothic" w:hAnsi="Century Gothic"/>
          <w:noProof/>
          <w:lang w:eastAsia="fr-BE"/>
        </w:rPr>
        <w:drawing>
          <wp:inline distT="0" distB="0" distL="0" distR="0">
            <wp:extent cx="1476375" cy="871346"/>
            <wp:effectExtent l="19050" t="0" r="0" b="0"/>
            <wp:docPr id="8" name="Image 1" descr="http://intranet.spw.wallonie.be/files/home/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files/home/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479473" cy="873175"/>
                    </a:xfrm>
                    <a:prstGeom prst="rect">
                      <a:avLst/>
                    </a:prstGeom>
                    <a:noFill/>
                    <a:ln w="9525">
                      <a:noFill/>
                      <a:miter lim="800000"/>
                      <a:headEnd/>
                      <a:tailEnd/>
                    </a:ln>
                  </pic:spPr>
                </pic:pic>
              </a:graphicData>
            </a:graphic>
          </wp:inline>
        </w:drawing>
      </w:r>
    </w:p>
    <w:p w:rsidR="00926F32" w:rsidRPr="002846BC" w:rsidRDefault="00926F32" w:rsidP="005E6D7F">
      <w:pPr>
        <w:jc w:val="both"/>
        <w:rPr>
          <w:rFonts w:ascii="Century Gothic" w:hAnsi="Century Gothic"/>
        </w:rPr>
      </w:pPr>
    </w:p>
    <w:p w:rsidR="00926F32" w:rsidRPr="002846BC" w:rsidRDefault="00926F32" w:rsidP="005E6D7F">
      <w:pPr>
        <w:jc w:val="both"/>
        <w:rPr>
          <w:rFonts w:ascii="Century Gothic" w:hAnsi="Century Gothic"/>
        </w:rPr>
      </w:pPr>
    </w:p>
    <w:p w:rsidR="00926F32" w:rsidRPr="002846BC" w:rsidRDefault="00926F32" w:rsidP="005E6D7F">
      <w:pPr>
        <w:jc w:val="both"/>
        <w:rPr>
          <w:rFonts w:ascii="Century Gothic" w:hAnsi="Century Gothic"/>
        </w:rPr>
      </w:pPr>
    </w:p>
    <w:p w:rsidR="00926F32" w:rsidRPr="002846BC" w:rsidRDefault="00926F32" w:rsidP="005E6D7F">
      <w:pPr>
        <w:pStyle w:val="Titre1"/>
        <w:jc w:val="both"/>
        <w:rPr>
          <w:rFonts w:ascii="Century Gothic" w:hAnsi="Century Gothic"/>
          <w:sz w:val="22"/>
          <w:szCs w:val="22"/>
        </w:rPr>
      </w:pPr>
    </w:p>
    <w:p w:rsidR="00926F32" w:rsidRPr="002846BC" w:rsidRDefault="00926F32" w:rsidP="005E6D7F">
      <w:pPr>
        <w:pStyle w:val="Titre1"/>
        <w:jc w:val="both"/>
        <w:rPr>
          <w:rFonts w:ascii="Century Gothic" w:hAnsi="Century Gothic"/>
          <w:sz w:val="22"/>
          <w:szCs w:val="22"/>
        </w:rPr>
      </w:pPr>
    </w:p>
    <w:p w:rsidR="00926F32" w:rsidRPr="002846BC" w:rsidRDefault="00926F32" w:rsidP="005E6D7F">
      <w:pPr>
        <w:pStyle w:val="Titre1"/>
        <w:jc w:val="both"/>
        <w:rPr>
          <w:rFonts w:ascii="Century Gothic" w:hAnsi="Century Gothic"/>
          <w:sz w:val="22"/>
          <w:szCs w:val="22"/>
        </w:rPr>
      </w:pPr>
    </w:p>
    <w:p w:rsidR="00926F32" w:rsidRPr="00AB5755" w:rsidRDefault="00926F32" w:rsidP="005E6D7F">
      <w:pPr>
        <w:jc w:val="center"/>
        <w:rPr>
          <w:rFonts w:ascii="Century Gothic" w:hAnsi="Century Gothic"/>
          <w:b/>
          <w:color w:val="1F497D" w:themeColor="text2"/>
          <w:sz w:val="26"/>
          <w:szCs w:val="26"/>
        </w:rPr>
      </w:pPr>
      <w:r w:rsidRPr="00AB5755">
        <w:rPr>
          <w:rFonts w:ascii="Century Gothic" w:hAnsi="Century Gothic"/>
          <w:b/>
          <w:color w:val="1F497D" w:themeColor="text2"/>
          <w:sz w:val="26"/>
          <w:szCs w:val="26"/>
        </w:rPr>
        <w:t xml:space="preserve">Consultation des </w:t>
      </w:r>
      <w:proofErr w:type="spellStart"/>
      <w:r w:rsidRPr="00AB5755">
        <w:rPr>
          <w:rFonts w:ascii="Century Gothic" w:hAnsi="Century Gothic"/>
          <w:b/>
          <w:color w:val="1F497D" w:themeColor="text2"/>
          <w:sz w:val="26"/>
          <w:szCs w:val="26"/>
        </w:rPr>
        <w:t>stakeholders</w:t>
      </w:r>
      <w:proofErr w:type="spellEnd"/>
      <w:r w:rsidRPr="00AB5755">
        <w:rPr>
          <w:rFonts w:ascii="Century Gothic" w:hAnsi="Century Gothic"/>
          <w:b/>
          <w:color w:val="1F497D" w:themeColor="text2"/>
          <w:sz w:val="26"/>
          <w:szCs w:val="26"/>
        </w:rPr>
        <w:t xml:space="preserve"> dans le cadre de l’élaboration du Plan Energie-Climat 2030 pour la Wallonie</w:t>
      </w:r>
    </w:p>
    <w:p w:rsidR="00926F32" w:rsidRPr="002846BC" w:rsidRDefault="00926F32" w:rsidP="005E6D7F">
      <w:pPr>
        <w:jc w:val="both"/>
        <w:rPr>
          <w:rFonts w:ascii="Century Gothic" w:hAnsi="Century Gothic"/>
          <w:b/>
          <w:color w:val="1F497D" w:themeColor="text2"/>
        </w:rPr>
      </w:pPr>
    </w:p>
    <w:p w:rsidR="00926F32" w:rsidRPr="002846BC" w:rsidRDefault="00E05578" w:rsidP="005E6D7F">
      <w:pPr>
        <w:jc w:val="both"/>
        <w:rPr>
          <w:rFonts w:ascii="Century Gothic" w:hAnsi="Century Gothic"/>
          <w:b/>
          <w:color w:val="1F497D" w:themeColor="text2"/>
        </w:rPr>
      </w:pPr>
      <w:r w:rsidRPr="002846BC">
        <w:rPr>
          <w:rFonts w:ascii="Century Gothic" w:hAnsi="Century Gothic"/>
          <w:b/>
          <w:color w:val="1F497D" w:themeColor="text2"/>
        </w:rPr>
        <w:t>Etat des lieux</w:t>
      </w:r>
      <w:r w:rsidR="00771027" w:rsidRPr="002846BC">
        <w:rPr>
          <w:rFonts w:ascii="Century Gothic" w:hAnsi="Century Gothic"/>
          <w:b/>
          <w:color w:val="1F497D" w:themeColor="text2"/>
        </w:rPr>
        <w:t xml:space="preserve"> : </w:t>
      </w:r>
      <w:r w:rsidR="00B5258B" w:rsidRPr="002846BC">
        <w:rPr>
          <w:rFonts w:ascii="Century Gothic" w:hAnsi="Century Gothic"/>
          <w:b/>
          <w:color w:val="1F497D" w:themeColor="text2"/>
        </w:rPr>
        <w:t>Transport</w:t>
      </w:r>
      <w:r w:rsidR="001C35B4" w:rsidRPr="002846BC">
        <w:rPr>
          <w:rFonts w:ascii="Century Gothic" w:hAnsi="Century Gothic"/>
          <w:b/>
          <w:color w:val="1F497D" w:themeColor="text2"/>
        </w:rPr>
        <w:t>/Mobilité</w:t>
      </w:r>
    </w:p>
    <w:p w:rsidR="003311E4" w:rsidRPr="008779CD" w:rsidRDefault="003311E4" w:rsidP="003311E4">
      <w:pPr>
        <w:rPr>
          <w:rFonts w:ascii="Century Gothic" w:hAnsi="Century Gothic"/>
        </w:rPr>
      </w:pPr>
      <w:r w:rsidRPr="00880A8A">
        <w:rPr>
          <w:rFonts w:ascii="Century Gothic" w:hAnsi="Century Gothic"/>
        </w:rPr>
        <w:t>Date de la consultation</w:t>
      </w:r>
      <w:r>
        <w:rPr>
          <w:rFonts w:ascii="Century Gothic" w:hAnsi="Century Gothic"/>
        </w:rPr>
        <w:t> : du 13/03/2017 au 21/04/2017</w:t>
      </w:r>
    </w:p>
    <w:p w:rsidR="00C47849" w:rsidRDefault="00C47849" w:rsidP="005E6D7F">
      <w:pPr>
        <w:jc w:val="both"/>
        <w:rPr>
          <w:rFonts w:ascii="Century Gothic" w:hAnsi="Century Gothic"/>
        </w:rPr>
      </w:pPr>
    </w:p>
    <w:p w:rsidR="00C47849" w:rsidRDefault="00C47849" w:rsidP="005E6D7F">
      <w:pPr>
        <w:jc w:val="both"/>
        <w:rPr>
          <w:rFonts w:ascii="Century Gothic" w:hAnsi="Century Gothic"/>
        </w:rPr>
      </w:pPr>
    </w:p>
    <w:p w:rsidR="00C47849" w:rsidRDefault="00C47849" w:rsidP="005E6D7F">
      <w:pPr>
        <w:jc w:val="both"/>
        <w:rPr>
          <w:rFonts w:ascii="Century Gothic" w:hAnsi="Century Gothic"/>
        </w:rPr>
      </w:pPr>
    </w:p>
    <w:p w:rsidR="00C47849" w:rsidRDefault="00C47849" w:rsidP="005E6D7F">
      <w:pPr>
        <w:jc w:val="both"/>
        <w:rPr>
          <w:rFonts w:ascii="Century Gothic" w:hAnsi="Century Gothic"/>
        </w:rPr>
      </w:pPr>
    </w:p>
    <w:p w:rsidR="00C47849" w:rsidRDefault="00C47849" w:rsidP="005E6D7F">
      <w:pPr>
        <w:jc w:val="both"/>
        <w:rPr>
          <w:rFonts w:ascii="Century Gothic" w:hAnsi="Century Gothic"/>
        </w:rPr>
      </w:pPr>
    </w:p>
    <w:p w:rsidR="00C47849" w:rsidRDefault="00C47849" w:rsidP="005E6D7F">
      <w:pPr>
        <w:jc w:val="both"/>
        <w:rPr>
          <w:rFonts w:ascii="Century Gothic" w:hAnsi="Century Gothic"/>
        </w:rPr>
      </w:pPr>
    </w:p>
    <w:p w:rsidR="00C47849" w:rsidRDefault="00C47849" w:rsidP="005E6D7F">
      <w:pPr>
        <w:jc w:val="both"/>
        <w:rPr>
          <w:rFonts w:ascii="Century Gothic" w:hAnsi="Century Gothic"/>
        </w:rPr>
      </w:pPr>
    </w:p>
    <w:p w:rsidR="00C47849" w:rsidRPr="002846BC" w:rsidRDefault="00C47849" w:rsidP="005E6D7F">
      <w:pPr>
        <w:jc w:val="both"/>
        <w:rPr>
          <w:rFonts w:ascii="Century Gothic" w:hAnsi="Century Gothic"/>
        </w:rPr>
      </w:pPr>
    </w:p>
    <w:p w:rsidR="0033110E" w:rsidRPr="002846BC" w:rsidRDefault="00C47849" w:rsidP="005E6D7F">
      <w:pPr>
        <w:jc w:val="both"/>
        <w:rPr>
          <w:rFonts w:ascii="Century Gothic" w:hAnsi="Century Gothic"/>
        </w:rPr>
      </w:pPr>
      <w:r w:rsidRPr="00C47849">
        <w:rPr>
          <w:rFonts w:ascii="Century Gothic" w:hAnsi="Century Gothic"/>
          <w:noProof/>
          <w:lang w:eastAsia="fr-BE"/>
        </w:rPr>
        <w:drawing>
          <wp:inline distT="0" distB="0" distL="0" distR="0">
            <wp:extent cx="1619250" cy="63535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7453" cy="634651"/>
                    </a:xfrm>
                    <a:prstGeom prst="rect">
                      <a:avLst/>
                    </a:prstGeom>
                    <a:noFill/>
                    <a:ln w="9525">
                      <a:noFill/>
                      <a:miter lim="800000"/>
                      <a:headEnd/>
                      <a:tailEnd/>
                    </a:ln>
                  </pic:spPr>
                </pic:pic>
              </a:graphicData>
            </a:graphic>
          </wp:inline>
        </w:drawing>
      </w:r>
      <w:r>
        <w:rPr>
          <w:rFonts w:ascii="Century Gothic" w:hAnsi="Century Gothic"/>
          <w:noProof/>
          <w:lang w:eastAsia="fr-BE"/>
        </w:rPr>
        <w:drawing>
          <wp:anchor distT="0" distB="0" distL="114300" distR="114300" simplePos="0" relativeHeight="251658240" behindDoc="0" locked="0" layoutInCell="1" allowOverlap="1">
            <wp:simplePos x="0" y="0"/>
            <wp:positionH relativeFrom="margin">
              <wp:posOffset>4653280</wp:posOffset>
            </wp:positionH>
            <wp:positionV relativeFrom="margin">
              <wp:posOffset>7320280</wp:posOffset>
            </wp:positionV>
            <wp:extent cx="820420" cy="781050"/>
            <wp:effectExtent l="19050" t="0" r="0" b="0"/>
            <wp:wrapSquare wrapText="bothSides"/>
            <wp:docPr id="12" name="Image 4" descr="http://intranet.spw.wallonie.be/files/home/outils/identite_visuelle/chartes_graphique_et_editoriale/logos/d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pw.wallonie.be/files/home/outils/identite_visuelle/chartes_graphique_et_editoriale/logos/dgo4.jpg"/>
                    <pic:cNvPicPr>
                      <a:picLocks noChangeAspect="1" noChangeArrowheads="1"/>
                    </pic:cNvPicPr>
                  </pic:nvPicPr>
                  <pic:blipFill>
                    <a:blip r:embed="rId10" cstate="print"/>
                    <a:srcRect/>
                    <a:stretch>
                      <a:fillRect/>
                    </a:stretch>
                  </pic:blipFill>
                  <pic:spPr bwMode="auto">
                    <a:xfrm>
                      <a:off x="0" y="0"/>
                      <a:ext cx="820420" cy="781050"/>
                    </a:xfrm>
                    <a:prstGeom prst="rect">
                      <a:avLst/>
                    </a:prstGeom>
                    <a:noFill/>
                    <a:ln w="9525">
                      <a:noFill/>
                      <a:miter lim="800000"/>
                      <a:headEnd/>
                      <a:tailEnd/>
                    </a:ln>
                  </pic:spPr>
                </pic:pic>
              </a:graphicData>
            </a:graphic>
          </wp:anchor>
        </w:drawing>
      </w:r>
      <w:r w:rsidR="00926F32" w:rsidRPr="002846BC">
        <w:rPr>
          <w:rFonts w:ascii="Century Gothic" w:hAnsi="Century Gothic"/>
        </w:rPr>
        <w:br w:type="page"/>
      </w:r>
    </w:p>
    <w:p w:rsidR="008B4079" w:rsidRPr="002846BC" w:rsidRDefault="008B4079" w:rsidP="005E6D7F">
      <w:pPr>
        <w:jc w:val="both"/>
        <w:rPr>
          <w:rFonts w:ascii="Century Gothic" w:hAnsi="Century Gothic"/>
        </w:rPr>
        <w:sectPr w:rsidR="008B4079" w:rsidRPr="002846BC" w:rsidSect="0033110E">
          <w:pgSz w:w="11906" w:h="16838"/>
          <w:pgMar w:top="1417" w:right="1417" w:bottom="1417" w:left="1417" w:header="708" w:footer="708" w:gutter="0"/>
          <w:pgNumType w:start="1"/>
          <w:cols w:space="708"/>
          <w:docGrid w:linePitch="360"/>
        </w:sectPr>
      </w:pPr>
    </w:p>
    <w:p w:rsidR="00926F32" w:rsidRPr="002846BC" w:rsidRDefault="00926F32" w:rsidP="005E6D7F">
      <w:pPr>
        <w:jc w:val="both"/>
        <w:rPr>
          <w:rFonts w:ascii="Century Gothic" w:eastAsiaTheme="majorEastAsia" w:hAnsi="Century Gothic" w:cstheme="majorBidi"/>
          <w:b/>
          <w:bCs/>
          <w:color w:val="365F91" w:themeColor="accent1" w:themeShade="BF"/>
        </w:rPr>
      </w:pPr>
    </w:p>
    <w:sdt>
      <w:sdtPr>
        <w:rPr>
          <w:rFonts w:ascii="Century Gothic" w:eastAsiaTheme="minorHAnsi" w:hAnsi="Century Gothic" w:cstheme="minorBidi"/>
          <w:b w:val="0"/>
          <w:bCs w:val="0"/>
          <w:color w:val="auto"/>
          <w:sz w:val="22"/>
          <w:szCs w:val="22"/>
          <w:lang w:val="fr-BE"/>
        </w:rPr>
        <w:id w:val="5014684"/>
        <w:docPartObj>
          <w:docPartGallery w:val="Table of Contents"/>
          <w:docPartUnique/>
        </w:docPartObj>
      </w:sdtPr>
      <w:sdtContent>
        <w:p w:rsidR="00472F17" w:rsidRPr="002846BC" w:rsidRDefault="00472F17" w:rsidP="005E6D7F">
          <w:pPr>
            <w:pStyle w:val="En-ttedetabledesmatires"/>
            <w:jc w:val="both"/>
            <w:rPr>
              <w:rFonts w:ascii="Century Gothic" w:hAnsi="Century Gothic"/>
              <w:sz w:val="22"/>
              <w:szCs w:val="22"/>
            </w:rPr>
          </w:pPr>
          <w:r w:rsidRPr="002846BC">
            <w:rPr>
              <w:rFonts w:ascii="Century Gothic" w:hAnsi="Century Gothic"/>
              <w:sz w:val="22"/>
              <w:szCs w:val="22"/>
            </w:rPr>
            <w:t>Table des matières</w:t>
          </w:r>
        </w:p>
        <w:p w:rsidR="003C2016" w:rsidRDefault="00017FB5">
          <w:pPr>
            <w:pStyle w:val="TM1"/>
            <w:tabs>
              <w:tab w:val="left" w:pos="440"/>
              <w:tab w:val="right" w:leader="dot" w:pos="9062"/>
            </w:tabs>
            <w:rPr>
              <w:rFonts w:eastAsiaTheme="minorEastAsia"/>
              <w:noProof/>
              <w:lang w:eastAsia="fr-BE"/>
            </w:rPr>
          </w:pPr>
          <w:r w:rsidRPr="002846BC">
            <w:rPr>
              <w:rFonts w:ascii="Century Gothic" w:hAnsi="Century Gothic"/>
              <w:lang w:val="fr-FR"/>
            </w:rPr>
            <w:fldChar w:fldCharType="begin"/>
          </w:r>
          <w:r w:rsidR="00472F17" w:rsidRPr="002846BC">
            <w:rPr>
              <w:rFonts w:ascii="Century Gothic" w:hAnsi="Century Gothic"/>
              <w:lang w:val="fr-FR"/>
            </w:rPr>
            <w:instrText xml:space="preserve"> TOC \o "1-3" \h \z \u </w:instrText>
          </w:r>
          <w:r w:rsidRPr="002846BC">
            <w:rPr>
              <w:rFonts w:ascii="Century Gothic" w:hAnsi="Century Gothic"/>
              <w:lang w:val="fr-FR"/>
            </w:rPr>
            <w:fldChar w:fldCharType="separate"/>
          </w:r>
          <w:hyperlink w:anchor="_Toc475972058" w:history="1">
            <w:r w:rsidR="003C2016" w:rsidRPr="00520B8D">
              <w:rPr>
                <w:rStyle w:val="Lienhypertexte"/>
                <w:rFonts w:ascii="Century Gothic" w:hAnsi="Century Gothic"/>
                <w:noProof/>
              </w:rPr>
              <w:t>1.</w:t>
            </w:r>
            <w:r w:rsidR="003C2016">
              <w:rPr>
                <w:rFonts w:eastAsiaTheme="minorEastAsia"/>
                <w:noProof/>
                <w:lang w:eastAsia="fr-BE"/>
              </w:rPr>
              <w:tab/>
            </w:r>
            <w:r w:rsidR="003C2016" w:rsidRPr="00520B8D">
              <w:rPr>
                <w:rStyle w:val="Lienhypertexte"/>
                <w:rFonts w:ascii="Century Gothic" w:hAnsi="Century Gothic"/>
                <w:noProof/>
              </w:rPr>
              <w:t>Contexte</w:t>
            </w:r>
            <w:r w:rsidR="003C2016">
              <w:rPr>
                <w:noProof/>
                <w:webHidden/>
              </w:rPr>
              <w:tab/>
            </w:r>
            <w:r>
              <w:rPr>
                <w:noProof/>
                <w:webHidden/>
              </w:rPr>
              <w:fldChar w:fldCharType="begin"/>
            </w:r>
            <w:r w:rsidR="003C2016">
              <w:rPr>
                <w:noProof/>
                <w:webHidden/>
              </w:rPr>
              <w:instrText xml:space="preserve"> PAGEREF _Toc475972058 \h </w:instrText>
            </w:r>
            <w:r>
              <w:rPr>
                <w:noProof/>
                <w:webHidden/>
              </w:rPr>
            </w:r>
            <w:r>
              <w:rPr>
                <w:noProof/>
                <w:webHidden/>
              </w:rPr>
              <w:fldChar w:fldCharType="separate"/>
            </w:r>
            <w:r w:rsidR="007510EB">
              <w:rPr>
                <w:noProof/>
                <w:webHidden/>
              </w:rPr>
              <w:t>3</w:t>
            </w:r>
            <w:r>
              <w:rPr>
                <w:noProof/>
                <w:webHidden/>
              </w:rPr>
              <w:fldChar w:fldCharType="end"/>
            </w:r>
          </w:hyperlink>
        </w:p>
        <w:p w:rsidR="003C2016" w:rsidRDefault="00017FB5">
          <w:pPr>
            <w:pStyle w:val="TM1"/>
            <w:tabs>
              <w:tab w:val="left" w:pos="440"/>
              <w:tab w:val="right" w:leader="dot" w:pos="9062"/>
            </w:tabs>
            <w:rPr>
              <w:rFonts w:eastAsiaTheme="minorEastAsia"/>
              <w:noProof/>
              <w:lang w:eastAsia="fr-BE"/>
            </w:rPr>
          </w:pPr>
          <w:hyperlink w:anchor="_Toc475972059" w:history="1">
            <w:r w:rsidR="003C2016" w:rsidRPr="00520B8D">
              <w:rPr>
                <w:rStyle w:val="Lienhypertexte"/>
                <w:rFonts w:ascii="Century Gothic" w:hAnsi="Century Gothic"/>
                <w:noProof/>
              </w:rPr>
              <w:t>2.</w:t>
            </w:r>
            <w:r w:rsidR="003C2016">
              <w:rPr>
                <w:rFonts w:eastAsiaTheme="minorEastAsia"/>
                <w:noProof/>
                <w:lang w:eastAsia="fr-BE"/>
              </w:rPr>
              <w:tab/>
            </w:r>
            <w:r w:rsidR="003C2016" w:rsidRPr="00520B8D">
              <w:rPr>
                <w:rStyle w:val="Lienhypertexte"/>
                <w:rFonts w:ascii="Century Gothic" w:hAnsi="Century Gothic"/>
                <w:noProof/>
              </w:rPr>
              <w:t>Objectif de la consultation</w:t>
            </w:r>
            <w:r w:rsidR="003C2016">
              <w:rPr>
                <w:noProof/>
                <w:webHidden/>
              </w:rPr>
              <w:tab/>
            </w:r>
            <w:r>
              <w:rPr>
                <w:noProof/>
                <w:webHidden/>
              </w:rPr>
              <w:fldChar w:fldCharType="begin"/>
            </w:r>
            <w:r w:rsidR="003C2016">
              <w:rPr>
                <w:noProof/>
                <w:webHidden/>
              </w:rPr>
              <w:instrText xml:space="preserve"> PAGEREF _Toc475972059 \h </w:instrText>
            </w:r>
            <w:r>
              <w:rPr>
                <w:noProof/>
                <w:webHidden/>
              </w:rPr>
            </w:r>
            <w:r>
              <w:rPr>
                <w:noProof/>
                <w:webHidden/>
              </w:rPr>
              <w:fldChar w:fldCharType="separate"/>
            </w:r>
            <w:r w:rsidR="007510EB">
              <w:rPr>
                <w:noProof/>
                <w:webHidden/>
              </w:rPr>
              <w:t>4</w:t>
            </w:r>
            <w:r>
              <w:rPr>
                <w:noProof/>
                <w:webHidden/>
              </w:rPr>
              <w:fldChar w:fldCharType="end"/>
            </w:r>
          </w:hyperlink>
        </w:p>
        <w:p w:rsidR="003C2016" w:rsidRDefault="00017FB5">
          <w:pPr>
            <w:pStyle w:val="TM1"/>
            <w:tabs>
              <w:tab w:val="left" w:pos="440"/>
              <w:tab w:val="right" w:leader="dot" w:pos="9062"/>
            </w:tabs>
            <w:rPr>
              <w:rFonts w:eastAsiaTheme="minorEastAsia"/>
              <w:noProof/>
              <w:lang w:eastAsia="fr-BE"/>
            </w:rPr>
          </w:pPr>
          <w:hyperlink w:anchor="_Toc475972060" w:history="1">
            <w:r w:rsidR="003C2016" w:rsidRPr="00520B8D">
              <w:rPr>
                <w:rStyle w:val="Lienhypertexte"/>
                <w:rFonts w:ascii="Century Gothic" w:hAnsi="Century Gothic"/>
                <w:noProof/>
              </w:rPr>
              <w:t>3.</w:t>
            </w:r>
            <w:r w:rsidR="003C2016">
              <w:rPr>
                <w:rFonts w:eastAsiaTheme="minorEastAsia"/>
                <w:noProof/>
                <w:lang w:eastAsia="fr-BE"/>
              </w:rPr>
              <w:tab/>
            </w:r>
            <w:r w:rsidR="003C2016" w:rsidRPr="00520B8D">
              <w:rPr>
                <w:rStyle w:val="Lienhypertexte"/>
                <w:rFonts w:ascii="Century Gothic" w:hAnsi="Century Gothic"/>
                <w:noProof/>
              </w:rPr>
              <w:t>Structure du document</w:t>
            </w:r>
            <w:r w:rsidR="003C2016">
              <w:rPr>
                <w:noProof/>
                <w:webHidden/>
              </w:rPr>
              <w:tab/>
            </w:r>
            <w:r>
              <w:rPr>
                <w:noProof/>
                <w:webHidden/>
              </w:rPr>
              <w:fldChar w:fldCharType="begin"/>
            </w:r>
            <w:r w:rsidR="003C2016">
              <w:rPr>
                <w:noProof/>
                <w:webHidden/>
              </w:rPr>
              <w:instrText xml:space="preserve"> PAGEREF _Toc475972060 \h </w:instrText>
            </w:r>
            <w:r>
              <w:rPr>
                <w:noProof/>
                <w:webHidden/>
              </w:rPr>
            </w:r>
            <w:r>
              <w:rPr>
                <w:noProof/>
                <w:webHidden/>
              </w:rPr>
              <w:fldChar w:fldCharType="separate"/>
            </w:r>
            <w:r w:rsidR="007510EB">
              <w:rPr>
                <w:noProof/>
                <w:webHidden/>
              </w:rPr>
              <w:t>5</w:t>
            </w:r>
            <w:r>
              <w:rPr>
                <w:noProof/>
                <w:webHidden/>
              </w:rPr>
              <w:fldChar w:fldCharType="end"/>
            </w:r>
          </w:hyperlink>
        </w:p>
        <w:p w:rsidR="003C2016" w:rsidRDefault="00017FB5">
          <w:pPr>
            <w:pStyle w:val="TM1"/>
            <w:tabs>
              <w:tab w:val="left" w:pos="440"/>
              <w:tab w:val="right" w:leader="dot" w:pos="9062"/>
            </w:tabs>
            <w:rPr>
              <w:rFonts w:eastAsiaTheme="minorEastAsia"/>
              <w:noProof/>
              <w:lang w:eastAsia="fr-BE"/>
            </w:rPr>
          </w:pPr>
          <w:hyperlink w:anchor="_Toc475972061" w:history="1">
            <w:r w:rsidR="003C2016" w:rsidRPr="00520B8D">
              <w:rPr>
                <w:rStyle w:val="Lienhypertexte"/>
                <w:rFonts w:ascii="Century Gothic" w:hAnsi="Century Gothic"/>
                <w:noProof/>
              </w:rPr>
              <w:t>4.</w:t>
            </w:r>
            <w:r w:rsidR="003C2016">
              <w:rPr>
                <w:rFonts w:eastAsiaTheme="minorEastAsia"/>
                <w:noProof/>
                <w:lang w:eastAsia="fr-BE"/>
              </w:rPr>
              <w:tab/>
            </w:r>
            <w:r w:rsidR="003C2016" w:rsidRPr="00520B8D">
              <w:rPr>
                <w:rStyle w:val="Lienhypertexte"/>
                <w:rFonts w:ascii="Century Gothic" w:hAnsi="Century Gothic"/>
                <w:noProof/>
              </w:rPr>
              <w:t>Etat des lieux des politiques et mesures existantes en matière de politiques énergétique et climatique liées à la mobilité et au transport</w:t>
            </w:r>
            <w:r w:rsidR="003C2016">
              <w:rPr>
                <w:noProof/>
                <w:webHidden/>
              </w:rPr>
              <w:tab/>
            </w:r>
            <w:r>
              <w:rPr>
                <w:noProof/>
                <w:webHidden/>
              </w:rPr>
              <w:fldChar w:fldCharType="begin"/>
            </w:r>
            <w:r w:rsidR="003C2016">
              <w:rPr>
                <w:noProof/>
                <w:webHidden/>
              </w:rPr>
              <w:instrText xml:space="preserve"> PAGEREF _Toc475972061 \h </w:instrText>
            </w:r>
            <w:r>
              <w:rPr>
                <w:noProof/>
                <w:webHidden/>
              </w:rPr>
            </w:r>
            <w:r>
              <w:rPr>
                <w:noProof/>
                <w:webHidden/>
              </w:rPr>
              <w:fldChar w:fldCharType="separate"/>
            </w:r>
            <w:r w:rsidR="007510EB">
              <w:rPr>
                <w:noProof/>
                <w:webHidden/>
              </w:rPr>
              <w:t>6</w:t>
            </w:r>
            <w:r>
              <w:rPr>
                <w:noProof/>
                <w:webHidden/>
              </w:rPr>
              <w:fldChar w:fldCharType="end"/>
            </w:r>
          </w:hyperlink>
        </w:p>
        <w:p w:rsidR="003C2016" w:rsidRDefault="00017FB5">
          <w:pPr>
            <w:pStyle w:val="TM2"/>
            <w:tabs>
              <w:tab w:val="left" w:pos="880"/>
              <w:tab w:val="right" w:leader="dot" w:pos="9062"/>
            </w:tabs>
            <w:rPr>
              <w:rFonts w:eastAsiaTheme="minorEastAsia"/>
              <w:noProof/>
              <w:lang w:eastAsia="fr-BE"/>
            </w:rPr>
          </w:pPr>
          <w:hyperlink w:anchor="_Toc475972062" w:history="1">
            <w:r w:rsidR="003C2016" w:rsidRPr="00520B8D">
              <w:rPr>
                <w:rStyle w:val="Lienhypertexte"/>
                <w:rFonts w:ascii="Century Gothic" w:hAnsi="Century Gothic"/>
                <w:noProof/>
              </w:rPr>
              <w:t>4.1.</w:t>
            </w:r>
            <w:r w:rsidR="003C2016">
              <w:rPr>
                <w:rFonts w:eastAsiaTheme="minorEastAsia"/>
                <w:noProof/>
                <w:lang w:eastAsia="fr-BE"/>
              </w:rPr>
              <w:tab/>
            </w:r>
            <w:r w:rsidR="003C2016" w:rsidRPr="00520B8D">
              <w:rPr>
                <w:rStyle w:val="Lienhypertexte"/>
                <w:rFonts w:ascii="Century Gothic" w:hAnsi="Century Gothic"/>
                <w:noProof/>
              </w:rPr>
              <w:t>Le transport et la mobilité : dimensions climatique et énergétique</w:t>
            </w:r>
            <w:r w:rsidR="003C2016">
              <w:rPr>
                <w:noProof/>
                <w:webHidden/>
              </w:rPr>
              <w:tab/>
            </w:r>
            <w:r>
              <w:rPr>
                <w:noProof/>
                <w:webHidden/>
              </w:rPr>
              <w:fldChar w:fldCharType="begin"/>
            </w:r>
            <w:r w:rsidR="003C2016">
              <w:rPr>
                <w:noProof/>
                <w:webHidden/>
              </w:rPr>
              <w:instrText xml:space="preserve"> PAGEREF _Toc475972062 \h </w:instrText>
            </w:r>
            <w:r>
              <w:rPr>
                <w:noProof/>
                <w:webHidden/>
              </w:rPr>
            </w:r>
            <w:r>
              <w:rPr>
                <w:noProof/>
                <w:webHidden/>
              </w:rPr>
              <w:fldChar w:fldCharType="separate"/>
            </w:r>
            <w:r w:rsidR="007510EB">
              <w:rPr>
                <w:noProof/>
                <w:webHidden/>
              </w:rPr>
              <w:t>6</w:t>
            </w:r>
            <w:r>
              <w:rPr>
                <w:noProof/>
                <w:webHidden/>
              </w:rPr>
              <w:fldChar w:fldCharType="end"/>
            </w:r>
          </w:hyperlink>
        </w:p>
        <w:p w:rsidR="003C2016" w:rsidRDefault="00017FB5">
          <w:pPr>
            <w:pStyle w:val="TM2"/>
            <w:tabs>
              <w:tab w:val="left" w:pos="880"/>
              <w:tab w:val="right" w:leader="dot" w:pos="9062"/>
            </w:tabs>
            <w:rPr>
              <w:rFonts w:eastAsiaTheme="minorEastAsia"/>
              <w:noProof/>
              <w:lang w:eastAsia="fr-BE"/>
            </w:rPr>
          </w:pPr>
          <w:hyperlink w:anchor="_Toc475972063" w:history="1">
            <w:r w:rsidR="003C2016" w:rsidRPr="00520B8D">
              <w:rPr>
                <w:rStyle w:val="Lienhypertexte"/>
                <w:rFonts w:ascii="Century Gothic" w:hAnsi="Century Gothic"/>
                <w:noProof/>
              </w:rPr>
              <w:t>4.2.</w:t>
            </w:r>
            <w:r w:rsidR="003C2016">
              <w:rPr>
                <w:rFonts w:eastAsiaTheme="minorEastAsia"/>
                <w:noProof/>
                <w:lang w:eastAsia="fr-BE"/>
              </w:rPr>
              <w:tab/>
            </w:r>
            <w:r w:rsidR="003C2016" w:rsidRPr="00520B8D">
              <w:rPr>
                <w:rStyle w:val="Lienhypertexte"/>
                <w:rFonts w:ascii="Century Gothic" w:hAnsi="Century Gothic"/>
                <w:noProof/>
              </w:rPr>
              <w:t>Les mesures existantes</w:t>
            </w:r>
            <w:r w:rsidR="003C2016">
              <w:rPr>
                <w:noProof/>
                <w:webHidden/>
              </w:rPr>
              <w:tab/>
            </w:r>
            <w:r>
              <w:rPr>
                <w:noProof/>
                <w:webHidden/>
              </w:rPr>
              <w:fldChar w:fldCharType="begin"/>
            </w:r>
            <w:r w:rsidR="003C2016">
              <w:rPr>
                <w:noProof/>
                <w:webHidden/>
              </w:rPr>
              <w:instrText xml:space="preserve"> PAGEREF _Toc475972063 \h </w:instrText>
            </w:r>
            <w:r>
              <w:rPr>
                <w:noProof/>
                <w:webHidden/>
              </w:rPr>
            </w:r>
            <w:r>
              <w:rPr>
                <w:noProof/>
                <w:webHidden/>
              </w:rPr>
              <w:fldChar w:fldCharType="separate"/>
            </w:r>
            <w:r w:rsidR="007510EB">
              <w:rPr>
                <w:noProof/>
                <w:webHidden/>
              </w:rPr>
              <w:t>10</w:t>
            </w:r>
            <w:r>
              <w:rPr>
                <w:noProof/>
                <w:webHidden/>
              </w:rPr>
              <w:fldChar w:fldCharType="end"/>
            </w:r>
          </w:hyperlink>
        </w:p>
        <w:p w:rsidR="003C2016" w:rsidRDefault="00017FB5">
          <w:pPr>
            <w:pStyle w:val="TM2"/>
            <w:tabs>
              <w:tab w:val="left" w:pos="880"/>
              <w:tab w:val="right" w:leader="dot" w:pos="9062"/>
            </w:tabs>
            <w:rPr>
              <w:rFonts w:eastAsiaTheme="minorEastAsia"/>
              <w:noProof/>
              <w:lang w:eastAsia="fr-BE"/>
            </w:rPr>
          </w:pPr>
          <w:hyperlink w:anchor="_Toc475972064" w:history="1">
            <w:r w:rsidR="003C2016" w:rsidRPr="00520B8D">
              <w:rPr>
                <w:rStyle w:val="Lienhypertexte"/>
                <w:rFonts w:ascii="Century Gothic" w:hAnsi="Century Gothic"/>
                <w:noProof/>
              </w:rPr>
              <w:t>4.3.</w:t>
            </w:r>
            <w:r w:rsidR="003C2016">
              <w:rPr>
                <w:rFonts w:eastAsiaTheme="minorEastAsia"/>
                <w:noProof/>
                <w:lang w:eastAsia="fr-BE"/>
              </w:rPr>
              <w:tab/>
            </w:r>
            <w:r w:rsidR="003C2016" w:rsidRPr="00520B8D">
              <w:rPr>
                <w:rStyle w:val="Lienhypertexte"/>
                <w:rFonts w:ascii="Century Gothic" w:hAnsi="Century Gothic"/>
                <w:noProof/>
              </w:rPr>
              <w:t>Quelques Chiffres clés</w:t>
            </w:r>
            <w:r w:rsidR="003C2016">
              <w:rPr>
                <w:noProof/>
                <w:webHidden/>
              </w:rPr>
              <w:tab/>
            </w:r>
            <w:r>
              <w:rPr>
                <w:noProof/>
                <w:webHidden/>
              </w:rPr>
              <w:fldChar w:fldCharType="begin"/>
            </w:r>
            <w:r w:rsidR="003C2016">
              <w:rPr>
                <w:noProof/>
                <w:webHidden/>
              </w:rPr>
              <w:instrText xml:space="preserve"> PAGEREF _Toc475972064 \h </w:instrText>
            </w:r>
            <w:r>
              <w:rPr>
                <w:noProof/>
                <w:webHidden/>
              </w:rPr>
            </w:r>
            <w:r>
              <w:rPr>
                <w:noProof/>
                <w:webHidden/>
              </w:rPr>
              <w:fldChar w:fldCharType="separate"/>
            </w:r>
            <w:r w:rsidR="007510EB">
              <w:rPr>
                <w:noProof/>
                <w:webHidden/>
              </w:rPr>
              <w:t>14</w:t>
            </w:r>
            <w:r>
              <w:rPr>
                <w:noProof/>
                <w:webHidden/>
              </w:rPr>
              <w:fldChar w:fldCharType="end"/>
            </w:r>
          </w:hyperlink>
        </w:p>
        <w:p w:rsidR="003C2016" w:rsidRDefault="00017FB5">
          <w:pPr>
            <w:pStyle w:val="TM1"/>
            <w:tabs>
              <w:tab w:val="left" w:pos="440"/>
              <w:tab w:val="right" w:leader="dot" w:pos="9062"/>
            </w:tabs>
            <w:rPr>
              <w:rFonts w:eastAsiaTheme="minorEastAsia"/>
              <w:noProof/>
              <w:lang w:eastAsia="fr-BE"/>
            </w:rPr>
          </w:pPr>
          <w:hyperlink w:anchor="_Toc475972065" w:history="1">
            <w:r w:rsidR="003C2016" w:rsidRPr="00520B8D">
              <w:rPr>
                <w:rStyle w:val="Lienhypertexte"/>
                <w:rFonts w:ascii="Century Gothic" w:hAnsi="Century Gothic"/>
                <w:noProof/>
              </w:rPr>
              <w:t>5.</w:t>
            </w:r>
            <w:r w:rsidR="003C2016">
              <w:rPr>
                <w:rFonts w:eastAsiaTheme="minorEastAsia"/>
                <w:noProof/>
                <w:lang w:eastAsia="fr-BE"/>
              </w:rPr>
              <w:tab/>
            </w:r>
            <w:r w:rsidR="003C2016" w:rsidRPr="00520B8D">
              <w:rPr>
                <w:rStyle w:val="Lienhypertexte"/>
                <w:rFonts w:ascii="Century Gothic" w:hAnsi="Century Gothic"/>
                <w:noProof/>
              </w:rPr>
              <w:t>Questionnaire</w:t>
            </w:r>
            <w:r w:rsidR="003C2016">
              <w:rPr>
                <w:noProof/>
                <w:webHidden/>
              </w:rPr>
              <w:tab/>
            </w:r>
            <w:r>
              <w:rPr>
                <w:noProof/>
                <w:webHidden/>
              </w:rPr>
              <w:fldChar w:fldCharType="begin"/>
            </w:r>
            <w:r w:rsidR="003C2016">
              <w:rPr>
                <w:noProof/>
                <w:webHidden/>
              </w:rPr>
              <w:instrText xml:space="preserve"> PAGEREF _Toc475972065 \h </w:instrText>
            </w:r>
            <w:r>
              <w:rPr>
                <w:noProof/>
                <w:webHidden/>
              </w:rPr>
            </w:r>
            <w:r>
              <w:rPr>
                <w:noProof/>
                <w:webHidden/>
              </w:rPr>
              <w:fldChar w:fldCharType="separate"/>
            </w:r>
            <w:r w:rsidR="007510EB">
              <w:rPr>
                <w:noProof/>
                <w:webHidden/>
              </w:rPr>
              <w:t>16</w:t>
            </w:r>
            <w:r>
              <w:rPr>
                <w:noProof/>
                <w:webHidden/>
              </w:rPr>
              <w:fldChar w:fldCharType="end"/>
            </w:r>
          </w:hyperlink>
        </w:p>
        <w:p w:rsidR="00472F17" w:rsidRPr="002846BC" w:rsidRDefault="00017FB5" w:rsidP="005E6D7F">
          <w:pPr>
            <w:jc w:val="both"/>
            <w:rPr>
              <w:rFonts w:ascii="Century Gothic" w:hAnsi="Century Gothic"/>
              <w:lang w:val="fr-FR"/>
            </w:rPr>
          </w:pPr>
          <w:r w:rsidRPr="002846BC">
            <w:rPr>
              <w:rFonts w:ascii="Century Gothic" w:hAnsi="Century Gothic"/>
              <w:lang w:val="fr-FR"/>
            </w:rPr>
            <w:fldChar w:fldCharType="end"/>
          </w:r>
        </w:p>
      </w:sdtContent>
    </w:sdt>
    <w:p w:rsidR="00472F17" w:rsidRPr="002846BC" w:rsidRDefault="00472F17" w:rsidP="005E6D7F">
      <w:pPr>
        <w:jc w:val="both"/>
        <w:rPr>
          <w:rFonts w:ascii="Century Gothic" w:eastAsiaTheme="majorEastAsia" w:hAnsi="Century Gothic" w:cstheme="majorBidi"/>
          <w:b/>
          <w:bCs/>
          <w:color w:val="365F91" w:themeColor="accent1" w:themeShade="BF"/>
        </w:rPr>
      </w:pPr>
      <w:r w:rsidRPr="002846BC">
        <w:rPr>
          <w:rFonts w:ascii="Century Gothic" w:hAnsi="Century Gothic"/>
        </w:rPr>
        <w:br w:type="page"/>
      </w:r>
    </w:p>
    <w:p w:rsidR="00756CB3" w:rsidRPr="002846BC" w:rsidRDefault="00756CB3" w:rsidP="005E6D7F">
      <w:pPr>
        <w:jc w:val="both"/>
        <w:rPr>
          <w:rFonts w:ascii="Century Gothic" w:hAnsi="Century Gothic"/>
        </w:rPr>
      </w:pPr>
    </w:p>
    <w:p w:rsidR="00372EEB" w:rsidRPr="002846BC" w:rsidRDefault="00372EEB" w:rsidP="00372EEB">
      <w:pPr>
        <w:pStyle w:val="Titre1"/>
        <w:numPr>
          <w:ilvl w:val="0"/>
          <w:numId w:val="18"/>
        </w:numPr>
        <w:rPr>
          <w:rFonts w:ascii="Century Gothic" w:hAnsi="Century Gothic"/>
          <w:sz w:val="22"/>
          <w:szCs w:val="22"/>
        </w:rPr>
        <w:sectPr w:rsidR="00372EEB" w:rsidRPr="002846BC" w:rsidSect="00FF0BF8">
          <w:footerReference w:type="default" r:id="rId11"/>
          <w:pgSz w:w="11906" w:h="16838"/>
          <w:pgMar w:top="1417" w:right="1417" w:bottom="1417" w:left="1417" w:header="708" w:footer="708" w:gutter="0"/>
          <w:cols w:space="708"/>
          <w:docGrid w:linePitch="360"/>
        </w:sectPr>
      </w:pPr>
    </w:p>
    <w:p w:rsidR="00756CB3" w:rsidRPr="002846BC" w:rsidRDefault="00756CB3" w:rsidP="00372EEB">
      <w:pPr>
        <w:pStyle w:val="Titre1"/>
        <w:numPr>
          <w:ilvl w:val="0"/>
          <w:numId w:val="18"/>
        </w:numPr>
        <w:rPr>
          <w:rFonts w:ascii="Century Gothic" w:hAnsi="Century Gothic"/>
          <w:sz w:val="22"/>
          <w:szCs w:val="22"/>
        </w:rPr>
      </w:pPr>
      <w:bookmarkStart w:id="0" w:name="_Toc475972058"/>
      <w:r w:rsidRPr="002846BC">
        <w:rPr>
          <w:rFonts w:ascii="Century Gothic" w:hAnsi="Century Gothic"/>
          <w:sz w:val="22"/>
          <w:szCs w:val="22"/>
        </w:rPr>
        <w:lastRenderedPageBreak/>
        <w:t>Contexte</w:t>
      </w:r>
      <w:bookmarkEnd w:id="0"/>
    </w:p>
    <w:p w:rsidR="00756CB3" w:rsidRPr="002846BC" w:rsidRDefault="00756CB3" w:rsidP="005E6D7F">
      <w:pPr>
        <w:jc w:val="both"/>
        <w:rPr>
          <w:rFonts w:ascii="Century Gothic" w:hAnsi="Century Gothic"/>
        </w:rPr>
      </w:pPr>
    </w:p>
    <w:p w:rsidR="00FF0BF8" w:rsidRDefault="00FF0BF8" w:rsidP="005E6D7F">
      <w:pPr>
        <w:jc w:val="both"/>
        <w:rPr>
          <w:rFonts w:ascii="Century Gothic" w:hAnsi="Century Gothic"/>
        </w:rPr>
        <w:sectPr w:rsidR="00FF0BF8" w:rsidSect="00372EEB">
          <w:type w:val="continuous"/>
          <w:pgSz w:w="11906" w:h="16838"/>
          <w:pgMar w:top="1417" w:right="1417" w:bottom="1417" w:left="1417" w:header="708" w:footer="708" w:gutter="0"/>
          <w:pgNumType w:start="1"/>
          <w:cols w:num="2" w:space="708"/>
          <w:docGrid w:linePitch="360"/>
        </w:sectPr>
      </w:pPr>
    </w:p>
    <w:p w:rsidR="002924E6" w:rsidRPr="002846BC" w:rsidRDefault="002924E6" w:rsidP="005E6D7F">
      <w:pPr>
        <w:jc w:val="both"/>
        <w:rPr>
          <w:rFonts w:ascii="Century Gothic" w:hAnsi="Century Gothic"/>
        </w:rPr>
      </w:pPr>
      <w:r w:rsidRPr="002846BC">
        <w:rPr>
          <w:rFonts w:ascii="Century Gothic" w:hAnsi="Century Gothic"/>
        </w:rPr>
        <w:lastRenderedPageBreak/>
        <w:t>Depuis toujours, le secteur de la mobilité et du transport a été vu sous un angle essentiellement environnemental et intimement lié au secteur pétrolier. Sa contribution aux émissions en GES n’a cessé de croître depuis 1990 pour atteindre un pic en 2014 à 24%.</w:t>
      </w:r>
    </w:p>
    <w:p w:rsidR="002924E6" w:rsidRPr="002846BC" w:rsidRDefault="002924E6" w:rsidP="00E83089">
      <w:pPr>
        <w:jc w:val="center"/>
        <w:rPr>
          <w:rFonts w:ascii="Century Gothic" w:hAnsi="Century Gothic"/>
        </w:rPr>
      </w:pPr>
      <w:r w:rsidRPr="002846BC">
        <w:rPr>
          <w:rFonts w:ascii="Century Gothic" w:hAnsi="Century Gothic"/>
          <w:noProof/>
          <w:lang w:eastAsia="fr-BE"/>
        </w:rPr>
        <w:drawing>
          <wp:inline distT="0" distB="0" distL="0" distR="0">
            <wp:extent cx="2886075" cy="2470385"/>
            <wp:effectExtent l="19050" t="0" r="0" b="0"/>
            <wp:docPr id="1" name="Image 1" descr="http://www.iweps.be/sites/default/files/2197graph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eps.be/sites/default/files/2197graph_0.png"/>
                    <pic:cNvPicPr>
                      <a:picLocks noChangeAspect="1" noChangeArrowheads="1"/>
                    </pic:cNvPicPr>
                  </pic:nvPicPr>
                  <pic:blipFill>
                    <a:blip r:embed="rId12" cstate="print"/>
                    <a:srcRect l="28421" t="11963" r="20421" b="24233"/>
                    <a:stretch>
                      <a:fillRect/>
                    </a:stretch>
                  </pic:blipFill>
                  <pic:spPr bwMode="auto">
                    <a:xfrm>
                      <a:off x="0" y="0"/>
                      <a:ext cx="2887155" cy="2471310"/>
                    </a:xfrm>
                    <a:prstGeom prst="rect">
                      <a:avLst/>
                    </a:prstGeom>
                    <a:noFill/>
                    <a:ln w="9525">
                      <a:noFill/>
                      <a:miter lim="800000"/>
                      <a:headEnd/>
                      <a:tailEnd/>
                    </a:ln>
                  </pic:spPr>
                </pic:pic>
              </a:graphicData>
            </a:graphic>
          </wp:inline>
        </w:drawing>
      </w:r>
      <w:r w:rsidRPr="002846BC">
        <w:rPr>
          <w:rFonts w:ascii="Century Gothic" w:hAnsi="Century Gothic"/>
        </w:rPr>
        <w:t>Source : AWAC (2016)</w:t>
      </w:r>
    </w:p>
    <w:p w:rsidR="0033110E" w:rsidRPr="002846BC" w:rsidRDefault="002924E6" w:rsidP="005E6D7F">
      <w:pPr>
        <w:jc w:val="both"/>
        <w:rPr>
          <w:rFonts w:ascii="Century Gothic" w:hAnsi="Century Gothic"/>
        </w:rPr>
      </w:pPr>
      <w:r w:rsidRPr="002846BC">
        <w:rPr>
          <w:rFonts w:ascii="Century Gothic" w:hAnsi="Century Gothic"/>
        </w:rPr>
        <w:t xml:space="preserve">Même si la situation tend à s’être stabilisée depuis 2010, c’est le seul secteur investigué à avoir subi une croissance notoire en 15 ans là où les autres secteurs ont connu une baisse parfois importante. </w:t>
      </w:r>
      <w:r w:rsidR="006B7017" w:rsidRPr="002846BC">
        <w:rPr>
          <w:rFonts w:ascii="Century Gothic" w:hAnsi="Century Gothic"/>
        </w:rPr>
        <w:t>Malgré les évolutions technologiques évidentes, c</w:t>
      </w:r>
      <w:r w:rsidRPr="002846BC">
        <w:rPr>
          <w:rFonts w:ascii="Century Gothic" w:hAnsi="Century Gothic"/>
        </w:rPr>
        <w:t>ette croissance vient essentiellement de la croissance du nombre de véhicules durant cette période</w:t>
      </w:r>
      <w:r w:rsidR="006B7017" w:rsidRPr="002846BC">
        <w:rPr>
          <w:rFonts w:ascii="Century Gothic" w:hAnsi="Century Gothic"/>
        </w:rPr>
        <w:t xml:space="preserve"> (+6,6% d’automobiles et +11,5% de véhicules utilitaires depuis 2010).</w:t>
      </w:r>
    </w:p>
    <w:p w:rsidR="006B7017" w:rsidRPr="002846BC" w:rsidRDefault="006B7017" w:rsidP="005E6D7F">
      <w:pPr>
        <w:jc w:val="both"/>
        <w:rPr>
          <w:rFonts w:ascii="Century Gothic" w:hAnsi="Century Gothic"/>
        </w:rPr>
      </w:pPr>
      <w:r w:rsidRPr="002846BC">
        <w:rPr>
          <w:rFonts w:ascii="Century Gothic" w:hAnsi="Century Gothic"/>
        </w:rPr>
        <w:t xml:space="preserve">Depuis le début des années 2010 et l’apparition des premiers modèles de véhicules électriques, la mobilité et le transport ont pris une tournure énergétique plus marquée avec l’apparition et, surtout, la généralisation de carburants dits « alternatifs » ou de « substitution » qui a forcé tant le secteur que le pouvoir public à repenser leur approche </w:t>
      </w:r>
      <w:r w:rsidR="00E93358" w:rsidRPr="002846BC">
        <w:rPr>
          <w:rFonts w:ascii="Century Gothic" w:hAnsi="Century Gothic"/>
        </w:rPr>
        <w:t>en tenant compte de nouveaux</w:t>
      </w:r>
      <w:r w:rsidRPr="002846BC">
        <w:rPr>
          <w:rFonts w:ascii="Century Gothic" w:hAnsi="Century Gothic"/>
        </w:rPr>
        <w:t xml:space="preserve"> enjeux</w:t>
      </w:r>
      <w:r w:rsidR="00947862" w:rsidRPr="002846BC">
        <w:rPr>
          <w:rFonts w:ascii="Century Gothic" w:hAnsi="Century Gothic"/>
        </w:rPr>
        <w:t>.</w:t>
      </w:r>
    </w:p>
    <w:p w:rsidR="00EB58EC" w:rsidRPr="002846BC" w:rsidRDefault="00947862" w:rsidP="005E6D7F">
      <w:pPr>
        <w:jc w:val="both"/>
        <w:rPr>
          <w:rFonts w:ascii="Century Gothic" w:hAnsi="Century Gothic"/>
        </w:rPr>
      </w:pPr>
      <w:r w:rsidRPr="002846BC">
        <w:rPr>
          <w:rFonts w:ascii="Century Gothic" w:hAnsi="Century Gothic"/>
        </w:rPr>
        <w:t>Entre des technologies matures comme l’électrique (qu</w:t>
      </w:r>
      <w:r w:rsidR="00DB3FF3" w:rsidRPr="002846BC">
        <w:rPr>
          <w:rFonts w:ascii="Century Gothic" w:hAnsi="Century Gothic"/>
        </w:rPr>
        <w:t>e les véhicules</w:t>
      </w:r>
      <w:r w:rsidRPr="002846BC">
        <w:rPr>
          <w:rFonts w:ascii="Century Gothic" w:hAnsi="Century Gothic"/>
        </w:rPr>
        <w:t xml:space="preserve"> soi</w:t>
      </w:r>
      <w:r w:rsidR="00DB3FF3" w:rsidRPr="002846BC">
        <w:rPr>
          <w:rFonts w:ascii="Century Gothic" w:hAnsi="Century Gothic"/>
        </w:rPr>
        <w:t>en</w:t>
      </w:r>
      <w:r w:rsidRPr="002846BC">
        <w:rPr>
          <w:rFonts w:ascii="Century Gothic" w:hAnsi="Century Gothic"/>
        </w:rPr>
        <w:t>t totalement électrique</w:t>
      </w:r>
      <w:r w:rsidR="00DB3FF3" w:rsidRPr="002846BC">
        <w:rPr>
          <w:rFonts w:ascii="Century Gothic" w:hAnsi="Century Gothic"/>
        </w:rPr>
        <w:t>s</w:t>
      </w:r>
      <w:r w:rsidRPr="002846BC">
        <w:rPr>
          <w:rFonts w:ascii="Century Gothic" w:hAnsi="Century Gothic"/>
        </w:rPr>
        <w:t xml:space="preserve"> ou hybride</w:t>
      </w:r>
      <w:r w:rsidR="00DB3FF3" w:rsidRPr="002846BC">
        <w:rPr>
          <w:rFonts w:ascii="Century Gothic" w:hAnsi="Century Gothic"/>
        </w:rPr>
        <w:t>s</w:t>
      </w:r>
      <w:r w:rsidRPr="002846BC">
        <w:rPr>
          <w:rFonts w:ascii="Century Gothic" w:hAnsi="Century Gothic"/>
        </w:rPr>
        <w:t xml:space="preserve">) et le gaz naturel ou en devenir comme l’hydrogène, le transport est devenu un enjeu </w:t>
      </w:r>
      <w:r w:rsidR="00DB3FF3" w:rsidRPr="002846BC">
        <w:rPr>
          <w:rFonts w:ascii="Century Gothic" w:hAnsi="Century Gothic"/>
        </w:rPr>
        <w:t xml:space="preserve">tant </w:t>
      </w:r>
      <w:r w:rsidRPr="002846BC">
        <w:rPr>
          <w:rFonts w:ascii="Century Gothic" w:hAnsi="Century Gothic"/>
        </w:rPr>
        <w:t xml:space="preserve">environnemental </w:t>
      </w:r>
      <w:r w:rsidR="00DB3FF3" w:rsidRPr="002846BC">
        <w:rPr>
          <w:rFonts w:ascii="Century Gothic" w:hAnsi="Century Gothic"/>
        </w:rPr>
        <w:t>qu’</w:t>
      </w:r>
      <w:r w:rsidRPr="002846BC">
        <w:rPr>
          <w:rFonts w:ascii="Century Gothic" w:hAnsi="Century Gothic"/>
        </w:rPr>
        <w:t>énergétique qui induira, dans le futur, une approche structurée afin de répondre à la mutation qui s’est engagée et aux divers défis qui y sont liés (sécurité d’approvisionnement, nouveaux modes de transport et de mobilité, effet rebond,</w:t>
      </w:r>
      <w:r w:rsidR="00DB3FF3" w:rsidRPr="002846BC">
        <w:rPr>
          <w:rFonts w:ascii="Century Gothic" w:hAnsi="Century Gothic"/>
        </w:rPr>
        <w:t xml:space="preserve"> coût des technologies</w:t>
      </w:r>
      <w:r w:rsidRPr="002846BC">
        <w:rPr>
          <w:rFonts w:ascii="Century Gothic" w:hAnsi="Century Gothic"/>
        </w:rPr>
        <w:t>…).</w:t>
      </w:r>
    </w:p>
    <w:p w:rsidR="00FF0BF8" w:rsidRDefault="00FF0BF8">
      <w:pPr>
        <w:rPr>
          <w:rFonts w:ascii="Century Gothic" w:hAnsi="Century Gothic"/>
        </w:rPr>
        <w:sectPr w:rsidR="00FF0BF8" w:rsidSect="00FF0BF8">
          <w:type w:val="continuous"/>
          <w:pgSz w:w="11906" w:h="16838"/>
          <w:pgMar w:top="1417" w:right="1417" w:bottom="1417" w:left="1417" w:header="708" w:footer="708" w:gutter="0"/>
          <w:pgNumType w:start="1"/>
          <w:cols w:space="708"/>
          <w:docGrid w:linePitch="360"/>
        </w:sectPr>
      </w:pPr>
    </w:p>
    <w:p w:rsidR="00EB58EC" w:rsidRPr="002846BC" w:rsidRDefault="00EB58EC">
      <w:pPr>
        <w:rPr>
          <w:rFonts w:ascii="Century Gothic" w:hAnsi="Century Gothic"/>
        </w:rPr>
      </w:pPr>
      <w:r w:rsidRPr="002846BC">
        <w:rPr>
          <w:rFonts w:ascii="Century Gothic" w:hAnsi="Century Gothic"/>
        </w:rPr>
        <w:lastRenderedPageBreak/>
        <w:br w:type="page"/>
      </w:r>
    </w:p>
    <w:p w:rsidR="00372EEB" w:rsidRPr="002846BC" w:rsidRDefault="00372EEB" w:rsidP="005E6D7F">
      <w:pPr>
        <w:jc w:val="both"/>
        <w:rPr>
          <w:rFonts w:ascii="Century Gothic" w:hAnsi="Century Gothic"/>
        </w:rPr>
        <w:sectPr w:rsidR="00372EEB" w:rsidRPr="002846BC" w:rsidSect="00372EEB">
          <w:type w:val="continuous"/>
          <w:pgSz w:w="11906" w:h="16838"/>
          <w:pgMar w:top="1417" w:right="1417" w:bottom="1417" w:left="1417" w:header="708" w:footer="708" w:gutter="0"/>
          <w:pgNumType w:start="1"/>
          <w:cols w:num="2" w:space="708"/>
          <w:docGrid w:linePitch="360"/>
        </w:sectPr>
      </w:pPr>
    </w:p>
    <w:p w:rsidR="00947862" w:rsidRPr="002846BC" w:rsidRDefault="00947862" w:rsidP="005E6D7F">
      <w:pPr>
        <w:jc w:val="both"/>
        <w:rPr>
          <w:rFonts w:ascii="Century Gothic" w:hAnsi="Century Gothic"/>
        </w:rPr>
      </w:pPr>
    </w:p>
    <w:p w:rsidR="00756CB3" w:rsidRPr="002846BC" w:rsidRDefault="00756CB3" w:rsidP="00E50A72">
      <w:pPr>
        <w:pStyle w:val="Titre1"/>
        <w:numPr>
          <w:ilvl w:val="0"/>
          <w:numId w:val="18"/>
        </w:numPr>
        <w:rPr>
          <w:rFonts w:ascii="Century Gothic" w:hAnsi="Century Gothic"/>
          <w:sz w:val="22"/>
          <w:szCs w:val="22"/>
        </w:rPr>
      </w:pPr>
      <w:bookmarkStart w:id="1" w:name="_Toc475972059"/>
      <w:r w:rsidRPr="002846BC">
        <w:rPr>
          <w:rFonts w:ascii="Century Gothic" w:hAnsi="Century Gothic"/>
          <w:sz w:val="22"/>
          <w:szCs w:val="22"/>
        </w:rPr>
        <w:t>Objectif de la consultation</w:t>
      </w:r>
      <w:bookmarkEnd w:id="1"/>
    </w:p>
    <w:p w:rsidR="00756CB3" w:rsidRPr="002846BC" w:rsidRDefault="00756CB3" w:rsidP="005E6D7F">
      <w:pPr>
        <w:jc w:val="both"/>
        <w:rPr>
          <w:rFonts w:ascii="Century Gothic" w:hAnsi="Century Gothic"/>
        </w:rPr>
      </w:pPr>
    </w:p>
    <w:p w:rsidR="00E50A72" w:rsidRPr="002846BC" w:rsidRDefault="00E50A72" w:rsidP="005E6D7F">
      <w:pPr>
        <w:jc w:val="both"/>
        <w:rPr>
          <w:rFonts w:ascii="Century Gothic" w:hAnsi="Century Gothic"/>
        </w:rPr>
        <w:sectPr w:rsidR="00E50A72" w:rsidRPr="002846BC" w:rsidSect="00FF0BF8">
          <w:type w:val="continuous"/>
          <w:pgSz w:w="11906" w:h="16838"/>
          <w:pgMar w:top="1417" w:right="1417" w:bottom="1417" w:left="1417" w:header="708" w:footer="708" w:gutter="0"/>
          <w:pgNumType w:start="4"/>
          <w:cols w:space="708"/>
          <w:docGrid w:linePitch="360"/>
        </w:sectPr>
      </w:pPr>
    </w:p>
    <w:p w:rsidR="00381657" w:rsidRPr="002846BC" w:rsidRDefault="00DB3FF3" w:rsidP="005E6D7F">
      <w:pPr>
        <w:jc w:val="both"/>
        <w:rPr>
          <w:rFonts w:ascii="Century Gothic" w:hAnsi="Century Gothic"/>
        </w:rPr>
      </w:pPr>
      <w:r w:rsidRPr="002846BC">
        <w:rPr>
          <w:rFonts w:ascii="Century Gothic" w:hAnsi="Century Gothic"/>
        </w:rPr>
        <w:lastRenderedPageBreak/>
        <w:t xml:space="preserve">La consultation vise essentiellement à dresser un état des lieux des attentes, des initiatives, des risques, des opportunités et des pistes à envisager afin de repenser le secteur du transport et de la mobilité afin d’offrir des solutions intégrées </w:t>
      </w:r>
      <w:r w:rsidR="00381657" w:rsidRPr="002846BC">
        <w:rPr>
          <w:rFonts w:ascii="Century Gothic" w:hAnsi="Century Gothic"/>
        </w:rPr>
        <w:t xml:space="preserve"> et de </w:t>
      </w:r>
      <w:r w:rsidRPr="002846BC">
        <w:rPr>
          <w:rFonts w:ascii="Century Gothic" w:hAnsi="Century Gothic"/>
        </w:rPr>
        <w:t xml:space="preserve"> permettre</w:t>
      </w:r>
      <w:r w:rsidR="00381657" w:rsidRPr="002846BC">
        <w:rPr>
          <w:rFonts w:ascii="Century Gothic" w:hAnsi="Century Gothic"/>
        </w:rPr>
        <w:t xml:space="preserve"> que la mutation</w:t>
      </w:r>
      <w:r w:rsidRPr="002846BC">
        <w:rPr>
          <w:rFonts w:ascii="Century Gothic" w:hAnsi="Century Gothic"/>
        </w:rPr>
        <w:t xml:space="preserve"> s’opère. </w:t>
      </w:r>
    </w:p>
    <w:p w:rsidR="00B11C95" w:rsidRPr="002846BC" w:rsidRDefault="00DB3FF3" w:rsidP="005E6D7F">
      <w:pPr>
        <w:jc w:val="both"/>
        <w:rPr>
          <w:rFonts w:ascii="Century Gothic" w:hAnsi="Century Gothic"/>
          <w:lang w:val="fr-FR"/>
        </w:rPr>
      </w:pPr>
      <w:r w:rsidRPr="002846BC">
        <w:rPr>
          <w:rFonts w:ascii="Century Gothic" w:hAnsi="Century Gothic"/>
        </w:rPr>
        <w:t>Plusieurs axes seront mis en avant :</w:t>
      </w:r>
    </w:p>
    <w:p w:rsidR="00304CF2" w:rsidRPr="002846BC" w:rsidRDefault="00017FB5" w:rsidP="00304CF2">
      <w:pPr>
        <w:rPr>
          <w:rFonts w:ascii="Century Gothic" w:hAnsi="Century Gothic"/>
          <w:b/>
          <w:u w:val="single"/>
          <w:lang w:val="fr-FR"/>
        </w:rPr>
      </w:pPr>
      <w:r w:rsidRPr="00017FB5">
        <w:rPr>
          <w:rFonts w:ascii="Century Gothic" w:hAnsi="Century Gothic"/>
          <w:noProof/>
          <w:lang w:eastAsia="fr-BE"/>
        </w:rPr>
        <w:pict>
          <v:shapetype id="_x0000_t202" coordsize="21600,21600" o:spt="202" path="m,l,21600r21600,l21600,xe">
            <v:stroke joinstyle="miter"/>
            <v:path gradientshapeok="t" o:connecttype="rect"/>
          </v:shapetype>
          <v:shape id="_x0000_s1026" type="#_x0000_t202" style="position:absolute;margin-left:-31.1pt;margin-top:1.35pt;width:207.75pt;height:239.25pt;z-index:251659264">
            <v:textbox>
              <w:txbxContent>
                <w:p w:rsidR="00425550" w:rsidRPr="00304CF2" w:rsidRDefault="00425550" w:rsidP="0075602F">
                  <w:pPr>
                    <w:jc w:val="both"/>
                    <w:rPr>
                      <w:lang w:val="fr-FR"/>
                    </w:rPr>
                  </w:pPr>
                  <w:r w:rsidRPr="00304CF2">
                    <w:rPr>
                      <w:b/>
                      <w:u w:val="single"/>
                      <w:lang w:val="fr-FR"/>
                    </w:rPr>
                    <w:t>Les besoins en mobilité :</w:t>
                  </w:r>
                  <w:r w:rsidRPr="00304CF2">
                    <w:rPr>
                      <w:lang w:val="fr-FR"/>
                    </w:rPr>
                    <w:t xml:space="preserve"> La mobilité et le transport sont essentiellement axés sur le transport routier où la part individuelle dans le transport de personnes est prédominante. Une simple adaptation des usages quotidiens permettrait des économies substantielles dans les émissions de GES, principalement pour les déplacements les plus courts. Entre shift modal, modifications des habitudes de mobilité et collectivisation du transport, plusieurs solutions existent afin de permettre une rationalisation de l’usage de la route.</w:t>
                  </w:r>
                </w:p>
                <w:p w:rsidR="00425550" w:rsidRPr="0075602F" w:rsidRDefault="00425550">
                  <w:pPr>
                    <w:rPr>
                      <w:lang w:val="fr-FR"/>
                    </w:rPr>
                  </w:pPr>
                </w:p>
              </w:txbxContent>
            </v:textbox>
          </v:shape>
        </w:pict>
      </w:r>
      <w:r>
        <w:rPr>
          <w:rFonts w:ascii="Century Gothic" w:hAnsi="Century Gothic"/>
          <w:b/>
          <w:noProof/>
          <w:u w:val="single"/>
          <w:lang w:eastAsia="fr-BE"/>
        </w:rPr>
        <w:pict>
          <v:shape id="_x0000_s1028" type="#_x0000_t202" style="position:absolute;margin-left:226.15pt;margin-top:5.1pt;width:219pt;height:293.25pt;z-index:251661312">
            <v:textbox>
              <w:txbxContent>
                <w:p w:rsidR="00425550" w:rsidRPr="00304CF2" w:rsidRDefault="00425550" w:rsidP="0075602F">
                  <w:pPr>
                    <w:jc w:val="both"/>
                    <w:rPr>
                      <w:lang w:val="fr-FR"/>
                    </w:rPr>
                  </w:pPr>
                  <w:r w:rsidRPr="00304CF2">
                    <w:rPr>
                      <w:b/>
                      <w:u w:val="single"/>
                      <w:lang w:val="fr-FR"/>
                    </w:rPr>
                    <w:t>Les carburants alternatifs ou de substitution</w:t>
                  </w:r>
                  <w:r w:rsidRPr="00304CF2">
                    <w:rPr>
                      <w:b/>
                      <w:lang w:val="fr-FR"/>
                    </w:rPr>
                    <w:t> :</w:t>
                  </w:r>
                  <w:r w:rsidRPr="00304CF2">
                    <w:rPr>
                      <w:lang w:val="fr-FR"/>
                    </w:rPr>
                    <w:t xml:space="preserve"> Les années 2000 et le pic pétrolier de 2008-2009 ont vu la réémergence de technologies connues et l’introduction sur le marché de nombreux modèles de véhicules ne fonctionnant pas à l’essence ou au diesel. Jusqu’à il y a peu, ce marché restait confiné à une niche peu accessible en raison des coûts. Mais les évolutions technologiques et les économies d’échelle ont permis une lente démocratisation de ces véhicules. La mutation vers un nouveau paradigme énergétique lié à la mobilité devenant une réalité chaque jour croissante, de nouveaux défis apparaissent principalement en ce qui concerne l’approvisionnement et la charge sur le réseau dont ces véhicules dépendent. </w:t>
                  </w:r>
                </w:p>
                <w:p w:rsidR="00425550" w:rsidRPr="0075602F" w:rsidRDefault="00425550">
                  <w:pPr>
                    <w:rPr>
                      <w:lang w:val="fr-FR"/>
                    </w:rPr>
                  </w:pPr>
                </w:p>
              </w:txbxContent>
            </v:textbox>
          </v:shape>
        </w:pict>
      </w:r>
    </w:p>
    <w:p w:rsidR="0075602F" w:rsidRPr="002846BC" w:rsidRDefault="0075602F" w:rsidP="00304CF2">
      <w:pPr>
        <w:rPr>
          <w:rFonts w:ascii="Century Gothic" w:hAnsi="Century Gothic"/>
          <w:b/>
          <w:u w:val="single"/>
          <w:lang w:val="fr-FR"/>
        </w:rPr>
      </w:pPr>
    </w:p>
    <w:p w:rsidR="0075602F" w:rsidRPr="002846BC" w:rsidRDefault="0075602F" w:rsidP="00304CF2">
      <w:pPr>
        <w:rPr>
          <w:rFonts w:ascii="Century Gothic" w:hAnsi="Century Gothic"/>
          <w:b/>
          <w:u w:val="single"/>
          <w:lang w:val="fr-FR"/>
        </w:rPr>
      </w:pPr>
    </w:p>
    <w:p w:rsidR="0075602F" w:rsidRPr="002846BC" w:rsidRDefault="0075602F" w:rsidP="00304CF2">
      <w:pPr>
        <w:rPr>
          <w:rFonts w:ascii="Century Gothic" w:hAnsi="Century Gothic"/>
          <w:b/>
          <w:u w:val="single"/>
          <w:lang w:val="fr-FR"/>
        </w:rPr>
      </w:pPr>
    </w:p>
    <w:p w:rsidR="0075602F" w:rsidRPr="002846BC" w:rsidRDefault="0075602F" w:rsidP="00304CF2">
      <w:pPr>
        <w:rPr>
          <w:rFonts w:ascii="Century Gothic" w:hAnsi="Century Gothic"/>
          <w:b/>
          <w:u w:val="single"/>
          <w:lang w:val="fr-FR"/>
        </w:rPr>
      </w:pPr>
    </w:p>
    <w:p w:rsidR="0075602F" w:rsidRPr="002846BC" w:rsidRDefault="0075602F" w:rsidP="00304CF2">
      <w:pPr>
        <w:rPr>
          <w:rFonts w:ascii="Century Gothic" w:hAnsi="Century Gothic"/>
          <w:b/>
          <w:u w:val="single"/>
          <w:lang w:val="fr-FR"/>
        </w:rPr>
      </w:pPr>
    </w:p>
    <w:p w:rsidR="0075602F" w:rsidRPr="002846BC" w:rsidRDefault="0075602F" w:rsidP="00304CF2">
      <w:pPr>
        <w:rPr>
          <w:rFonts w:ascii="Century Gothic" w:hAnsi="Century Gothic"/>
          <w:b/>
          <w:u w:val="single"/>
          <w:lang w:val="fr-FR"/>
        </w:rPr>
      </w:pPr>
    </w:p>
    <w:p w:rsidR="0075602F" w:rsidRPr="002846BC" w:rsidRDefault="0075602F" w:rsidP="00304CF2">
      <w:pPr>
        <w:rPr>
          <w:rFonts w:ascii="Century Gothic" w:hAnsi="Century Gothic"/>
          <w:b/>
          <w:u w:val="single"/>
          <w:lang w:val="fr-FR"/>
        </w:rPr>
      </w:pPr>
    </w:p>
    <w:p w:rsidR="00304CF2" w:rsidRPr="002846BC" w:rsidRDefault="00304CF2" w:rsidP="00304CF2">
      <w:pPr>
        <w:jc w:val="both"/>
        <w:rPr>
          <w:rFonts w:ascii="Century Gothic" w:hAnsi="Century Gothic"/>
          <w:b/>
          <w:u w:val="single"/>
          <w:lang w:val="fr-FR"/>
        </w:rPr>
      </w:pPr>
    </w:p>
    <w:p w:rsidR="0075602F" w:rsidRPr="002846BC" w:rsidRDefault="0075602F" w:rsidP="00304CF2">
      <w:pPr>
        <w:jc w:val="both"/>
        <w:rPr>
          <w:rFonts w:ascii="Century Gothic" w:hAnsi="Century Gothic"/>
          <w:b/>
          <w:u w:val="single"/>
          <w:lang w:val="fr-FR"/>
        </w:rPr>
      </w:pPr>
    </w:p>
    <w:p w:rsidR="0075602F" w:rsidRPr="002846BC" w:rsidRDefault="0075602F" w:rsidP="00304CF2">
      <w:pPr>
        <w:jc w:val="both"/>
        <w:rPr>
          <w:rFonts w:ascii="Century Gothic" w:hAnsi="Century Gothic"/>
          <w:b/>
          <w:u w:val="single"/>
          <w:lang w:val="fr-FR"/>
        </w:rPr>
      </w:pPr>
    </w:p>
    <w:p w:rsidR="0075602F" w:rsidRPr="002846BC" w:rsidRDefault="00017FB5" w:rsidP="00304CF2">
      <w:pPr>
        <w:jc w:val="both"/>
        <w:rPr>
          <w:rFonts w:ascii="Century Gothic" w:hAnsi="Century Gothic"/>
          <w:b/>
          <w:u w:val="single"/>
          <w:lang w:val="fr-FR"/>
        </w:rPr>
      </w:pPr>
      <w:r>
        <w:rPr>
          <w:rFonts w:ascii="Century Gothic" w:hAnsi="Century Gothic"/>
          <w:b/>
          <w:noProof/>
          <w:u w:val="single"/>
          <w:lang w:eastAsia="fr-BE"/>
        </w:rPr>
        <w:pict>
          <v:shape id="_x0000_s1030" type="#_x0000_t202" style="position:absolute;left:0;text-align:left;margin-left:-28.1pt;margin-top:-.25pt;width:204.75pt;height:264.75pt;z-index:251662336">
            <v:textbox>
              <w:txbxContent>
                <w:p w:rsidR="00425550" w:rsidRPr="0075602F" w:rsidRDefault="00425550" w:rsidP="0075602F">
                  <w:pPr>
                    <w:jc w:val="both"/>
                    <w:rPr>
                      <w:lang w:val="fr-FR"/>
                    </w:rPr>
                  </w:pPr>
                  <w:r w:rsidRPr="0075602F">
                    <w:rPr>
                      <w:b/>
                      <w:u w:val="single"/>
                      <w:lang w:val="fr-FR"/>
                    </w:rPr>
                    <w:t>L’effet rebond</w:t>
                  </w:r>
                  <w:r w:rsidRPr="0075602F">
                    <w:rPr>
                      <w:b/>
                      <w:lang w:val="fr-FR"/>
                    </w:rPr>
                    <w:t> :</w:t>
                  </w:r>
                  <w:r w:rsidRPr="0075602F">
                    <w:rPr>
                      <w:lang w:val="fr-FR"/>
                    </w:rPr>
                    <w:t xml:space="preserve"> Les mutations technologiques, principalement en ce qui concerne les changements de carburants, vont induire des besoins nouveaux afin de répondre aux défis. Entre le lithium absolument nécessaire pour les batteries, les terres rares dans les systèmes d’hybridation et le gaz naturel en substitution au pétrole, de nouveaux marchés et de nouveaux acteurs internationaux seront sollicités afin de répondre à la demande, et ce, avec les mêmes risques que ceux liés aux pays historiquement fournisseurs de pétrole et des impacts environnementaux autres potentiellement importants.</w:t>
                  </w:r>
                </w:p>
                <w:p w:rsidR="00425550" w:rsidRPr="0075602F" w:rsidRDefault="00425550">
                  <w:pPr>
                    <w:rPr>
                      <w:lang w:val="fr-FR"/>
                    </w:rPr>
                  </w:pPr>
                </w:p>
              </w:txbxContent>
            </v:textbox>
          </v:shape>
        </w:pict>
      </w:r>
    </w:p>
    <w:p w:rsidR="0075602F" w:rsidRPr="002846BC" w:rsidRDefault="00017FB5" w:rsidP="00304CF2">
      <w:pPr>
        <w:jc w:val="both"/>
        <w:rPr>
          <w:rFonts w:ascii="Century Gothic" w:hAnsi="Century Gothic"/>
          <w:b/>
          <w:u w:val="single"/>
          <w:lang w:val="fr-FR"/>
        </w:rPr>
      </w:pPr>
      <w:r>
        <w:rPr>
          <w:rFonts w:ascii="Century Gothic" w:hAnsi="Century Gothic"/>
          <w:b/>
          <w:noProof/>
          <w:u w:val="single"/>
          <w:lang w:eastAsia="fr-BE"/>
        </w:rPr>
        <w:pict>
          <v:shape id="_x0000_s1027" type="#_x0000_t202" style="position:absolute;left:0;text-align:left;margin-left:226.15pt;margin-top:11.8pt;width:223.5pt;height:160.5pt;z-index:251660288">
            <v:textbox>
              <w:txbxContent>
                <w:p w:rsidR="00425550" w:rsidRPr="00304CF2" w:rsidRDefault="00425550" w:rsidP="0075602F">
                  <w:pPr>
                    <w:rPr>
                      <w:lang w:val="fr-FR"/>
                    </w:rPr>
                  </w:pPr>
                  <w:r w:rsidRPr="00304CF2">
                    <w:rPr>
                      <w:b/>
                      <w:u w:val="single"/>
                      <w:lang w:val="fr-FR"/>
                    </w:rPr>
                    <w:t>L’usage des technologies de l’information et de la communication </w:t>
                  </w:r>
                  <w:r w:rsidRPr="00304CF2">
                    <w:rPr>
                      <w:b/>
                      <w:lang w:val="fr-FR"/>
                    </w:rPr>
                    <w:t>:</w:t>
                  </w:r>
                  <w:r w:rsidRPr="00304CF2">
                    <w:rPr>
                      <w:lang w:val="fr-FR"/>
                    </w:rPr>
                    <w:t xml:space="preserve"> L’usage des TIC permettrait une fluidification des flux liés à la mobilité. Qu’il s’agisse d’une meilleure synchronisation des feux de circulation, de technologies de GPS intelligentes ou d’aide à la conduite, toutes ces technologies pourront concourir à une meilleure gestion des trafics tant routiers que ferroviaires.</w:t>
                  </w:r>
                </w:p>
                <w:p w:rsidR="00425550" w:rsidRPr="0075602F" w:rsidRDefault="00425550">
                  <w:pPr>
                    <w:rPr>
                      <w:lang w:val="fr-FR"/>
                    </w:rPr>
                  </w:pPr>
                </w:p>
              </w:txbxContent>
            </v:textbox>
          </v:shape>
        </w:pict>
      </w:r>
    </w:p>
    <w:p w:rsidR="0075602F" w:rsidRPr="002846BC" w:rsidRDefault="0075602F" w:rsidP="00304CF2">
      <w:pPr>
        <w:jc w:val="both"/>
        <w:rPr>
          <w:rFonts w:ascii="Century Gothic" w:hAnsi="Century Gothic"/>
          <w:b/>
          <w:u w:val="single"/>
          <w:lang w:val="fr-FR"/>
        </w:rPr>
      </w:pPr>
    </w:p>
    <w:p w:rsidR="0075602F" w:rsidRPr="002846BC" w:rsidRDefault="0075602F" w:rsidP="00304CF2">
      <w:pPr>
        <w:jc w:val="both"/>
        <w:rPr>
          <w:rFonts w:ascii="Century Gothic" w:hAnsi="Century Gothic"/>
          <w:b/>
          <w:u w:val="single"/>
          <w:lang w:val="fr-FR"/>
        </w:rPr>
      </w:pPr>
    </w:p>
    <w:p w:rsidR="0075602F" w:rsidRPr="002846BC" w:rsidRDefault="0075602F" w:rsidP="00304CF2">
      <w:pPr>
        <w:jc w:val="both"/>
        <w:rPr>
          <w:rFonts w:ascii="Century Gothic" w:hAnsi="Century Gothic"/>
          <w:b/>
          <w:u w:val="single"/>
          <w:lang w:val="fr-FR"/>
        </w:rPr>
      </w:pPr>
    </w:p>
    <w:p w:rsidR="00304CF2" w:rsidRPr="002846BC" w:rsidRDefault="00304CF2" w:rsidP="00304CF2">
      <w:pPr>
        <w:jc w:val="both"/>
        <w:rPr>
          <w:rFonts w:ascii="Century Gothic" w:hAnsi="Century Gothic"/>
          <w:b/>
          <w:u w:val="single"/>
          <w:lang w:val="fr-FR"/>
        </w:rPr>
      </w:pPr>
    </w:p>
    <w:p w:rsidR="00E50A72" w:rsidRPr="002846BC" w:rsidRDefault="00E50A72" w:rsidP="005E6D7F">
      <w:pPr>
        <w:jc w:val="both"/>
        <w:rPr>
          <w:rFonts w:ascii="Century Gothic" w:hAnsi="Century Gothic"/>
        </w:rPr>
        <w:sectPr w:rsidR="00E50A72" w:rsidRPr="002846BC" w:rsidSect="00304CF2">
          <w:type w:val="continuous"/>
          <w:pgSz w:w="11906" w:h="16838"/>
          <w:pgMar w:top="1417" w:right="1417" w:bottom="1417" w:left="1417" w:header="708" w:footer="708" w:gutter="0"/>
          <w:pgNumType w:start="1"/>
          <w:cols w:space="708"/>
          <w:docGrid w:linePitch="360"/>
        </w:sectPr>
      </w:pPr>
    </w:p>
    <w:p w:rsidR="00DB3FF3" w:rsidRPr="002846BC" w:rsidRDefault="00DB3FF3" w:rsidP="005E6D7F">
      <w:pPr>
        <w:jc w:val="both"/>
        <w:rPr>
          <w:rFonts w:ascii="Century Gothic" w:hAnsi="Century Gothic"/>
        </w:rPr>
      </w:pPr>
    </w:p>
    <w:p w:rsidR="00304CF2" w:rsidRPr="002846BC" w:rsidRDefault="00304CF2" w:rsidP="005E6D7F">
      <w:pPr>
        <w:jc w:val="both"/>
        <w:rPr>
          <w:rFonts w:ascii="Century Gothic" w:hAnsi="Century Gothic"/>
        </w:rPr>
        <w:sectPr w:rsidR="00304CF2" w:rsidRPr="002846BC" w:rsidSect="00304CF2">
          <w:type w:val="continuous"/>
          <w:pgSz w:w="11906" w:h="16838"/>
          <w:pgMar w:top="1417" w:right="1417" w:bottom="1417" w:left="1417" w:header="708" w:footer="708" w:gutter="0"/>
          <w:pgNumType w:start="1"/>
          <w:cols w:space="708"/>
          <w:docGrid w:linePitch="360"/>
        </w:sectPr>
      </w:pPr>
    </w:p>
    <w:p w:rsidR="005E6D7F" w:rsidRPr="002846BC" w:rsidRDefault="005E6D7F" w:rsidP="005E6D7F">
      <w:pPr>
        <w:jc w:val="both"/>
        <w:rPr>
          <w:rFonts w:ascii="Century Gothic" w:hAnsi="Century Gothic"/>
        </w:rPr>
      </w:pPr>
    </w:p>
    <w:p w:rsidR="0075602F" w:rsidRPr="002846BC" w:rsidRDefault="0075602F" w:rsidP="005E6D7F">
      <w:pPr>
        <w:jc w:val="both"/>
        <w:rPr>
          <w:rFonts w:ascii="Century Gothic" w:hAnsi="Century Gothic"/>
        </w:rPr>
      </w:pPr>
    </w:p>
    <w:p w:rsidR="0075602F" w:rsidRDefault="00017FB5" w:rsidP="005E6D7F">
      <w:pPr>
        <w:jc w:val="both"/>
        <w:rPr>
          <w:rFonts w:ascii="Century Gothic" w:hAnsi="Century Gothic"/>
        </w:rPr>
      </w:pPr>
      <w:r>
        <w:rPr>
          <w:rFonts w:ascii="Century Gothic" w:hAnsi="Century Gothic"/>
          <w:noProof/>
          <w:lang w:eastAsia="fr-BE"/>
        </w:rPr>
        <w:lastRenderedPageBreak/>
        <w:pict>
          <v:shape id="_x0000_s1033" type="#_x0000_t202" style="position:absolute;left:0;text-align:left;margin-left:-13.1pt;margin-top:-18.35pt;width:366pt;height:195.75pt;z-index:251664384">
            <v:textbox style="mso-next-textbox:#_x0000_s1033">
              <w:txbxContent>
                <w:p w:rsidR="00425550" w:rsidRPr="009529B9" w:rsidRDefault="00425550" w:rsidP="00370196">
                  <w:pPr>
                    <w:rPr>
                      <w:lang w:val="fr-FR"/>
                    </w:rPr>
                  </w:pPr>
                  <w:r>
                    <w:rPr>
                      <w:b/>
                      <w:u w:val="single"/>
                      <w:lang w:val="fr-FR"/>
                    </w:rPr>
                    <w:t>L’usage des biocarburants :</w:t>
                  </w:r>
                  <w:r>
                    <w:rPr>
                      <w:lang w:val="fr-FR"/>
                    </w:rPr>
                    <w:t xml:space="preserve"> Introduit par la Directive 2009/28/UE et encadrée par celle-ci, l’usage des biocarburants a pris une part de plus en plus marquée dans le paysage énergétique du transport. Des critiques sont apparues avec le temps, principalement en ce qui concerne la durabilité de la technologie et de sa compétition avec le secteur alimentaire. Ces dernières années, les biocarburants de seconde génération  (issus de filières non-alimentaires) ont fait leur apparition avec un bilan environnemental généralement meilleur mais à la production plus compliquée. La modification proposée </w:t>
                  </w:r>
                  <w:r w:rsidR="00806E6E">
                    <w:rPr>
                      <w:lang w:val="fr-FR"/>
                    </w:rPr>
                    <w:t>par</w:t>
                  </w:r>
                  <w:r>
                    <w:rPr>
                      <w:lang w:val="fr-FR"/>
                    </w:rPr>
                    <w:t xml:space="preserve"> la Directive 2014/94 semble vouloir renforcer l’usage des biocarburants de seconde génération ce qui pourrait provoquer un bouleversement dans les schémas d’approvisionnement en Wallonie.</w:t>
                  </w:r>
                </w:p>
              </w:txbxContent>
            </v:textbox>
          </v:shape>
        </w:pict>
      </w:r>
    </w:p>
    <w:p w:rsidR="00370196" w:rsidRDefault="00370196" w:rsidP="005E6D7F">
      <w:pPr>
        <w:jc w:val="both"/>
        <w:rPr>
          <w:rFonts w:ascii="Century Gothic" w:hAnsi="Century Gothic"/>
        </w:rPr>
      </w:pPr>
    </w:p>
    <w:p w:rsidR="00370196" w:rsidRDefault="00370196" w:rsidP="005E6D7F">
      <w:pPr>
        <w:jc w:val="both"/>
        <w:rPr>
          <w:rFonts w:ascii="Century Gothic" w:hAnsi="Century Gothic"/>
        </w:rPr>
      </w:pPr>
    </w:p>
    <w:p w:rsidR="00370196" w:rsidRDefault="00370196" w:rsidP="005E6D7F">
      <w:pPr>
        <w:jc w:val="both"/>
        <w:rPr>
          <w:rFonts w:ascii="Century Gothic" w:hAnsi="Century Gothic"/>
        </w:rPr>
      </w:pPr>
    </w:p>
    <w:p w:rsidR="00370196" w:rsidRDefault="00370196" w:rsidP="005E6D7F">
      <w:pPr>
        <w:jc w:val="both"/>
        <w:rPr>
          <w:rFonts w:ascii="Century Gothic" w:hAnsi="Century Gothic"/>
        </w:rPr>
      </w:pPr>
    </w:p>
    <w:p w:rsidR="00370196" w:rsidRDefault="00370196" w:rsidP="005E6D7F">
      <w:pPr>
        <w:jc w:val="both"/>
        <w:rPr>
          <w:rFonts w:ascii="Century Gothic" w:hAnsi="Century Gothic"/>
        </w:rPr>
      </w:pPr>
    </w:p>
    <w:p w:rsidR="00370196" w:rsidRDefault="00370196" w:rsidP="005E6D7F">
      <w:pPr>
        <w:jc w:val="both"/>
        <w:rPr>
          <w:rFonts w:ascii="Century Gothic" w:hAnsi="Century Gothic"/>
        </w:rPr>
      </w:pPr>
    </w:p>
    <w:p w:rsidR="009529B9" w:rsidRDefault="009529B9" w:rsidP="005E6D7F">
      <w:pPr>
        <w:jc w:val="both"/>
        <w:rPr>
          <w:rFonts w:ascii="Century Gothic" w:hAnsi="Century Gothic"/>
        </w:rPr>
      </w:pPr>
    </w:p>
    <w:p w:rsidR="00B11C95" w:rsidRPr="002846BC" w:rsidRDefault="00B11C95" w:rsidP="005275F2">
      <w:pPr>
        <w:pStyle w:val="Titre1"/>
        <w:numPr>
          <w:ilvl w:val="0"/>
          <w:numId w:val="18"/>
        </w:numPr>
        <w:rPr>
          <w:rFonts w:ascii="Century Gothic" w:hAnsi="Century Gothic"/>
          <w:sz w:val="22"/>
          <w:szCs w:val="22"/>
        </w:rPr>
      </w:pPr>
      <w:bookmarkStart w:id="2" w:name="_Toc475972060"/>
      <w:r w:rsidRPr="002846BC">
        <w:rPr>
          <w:rFonts w:ascii="Century Gothic" w:hAnsi="Century Gothic"/>
          <w:sz w:val="22"/>
          <w:szCs w:val="22"/>
        </w:rPr>
        <w:t>Structure du document</w:t>
      </w:r>
      <w:bookmarkEnd w:id="2"/>
    </w:p>
    <w:p w:rsidR="00B11C95" w:rsidRPr="002846BC" w:rsidRDefault="00B11C95" w:rsidP="005E6D7F">
      <w:pPr>
        <w:jc w:val="both"/>
        <w:rPr>
          <w:rFonts w:ascii="Century Gothic" w:hAnsi="Century Gothic"/>
        </w:rPr>
      </w:pPr>
    </w:p>
    <w:p w:rsidR="005275F2" w:rsidRPr="002846BC" w:rsidRDefault="005275F2" w:rsidP="005E6D7F">
      <w:pPr>
        <w:jc w:val="both"/>
        <w:rPr>
          <w:rFonts w:ascii="Century Gothic" w:hAnsi="Century Gothic"/>
        </w:rPr>
        <w:sectPr w:rsidR="005275F2" w:rsidRPr="002846BC" w:rsidSect="00FF0BF8">
          <w:type w:val="continuous"/>
          <w:pgSz w:w="11906" w:h="16838"/>
          <w:pgMar w:top="1417" w:right="1417" w:bottom="1417" w:left="1417" w:header="708" w:footer="708" w:gutter="0"/>
          <w:pgNumType w:start="4"/>
          <w:cols w:space="708"/>
          <w:docGrid w:linePitch="360"/>
        </w:sectPr>
      </w:pPr>
    </w:p>
    <w:p w:rsidR="00BE0978" w:rsidRPr="002846BC" w:rsidRDefault="00BE0978" w:rsidP="005E6D7F">
      <w:pPr>
        <w:jc w:val="both"/>
        <w:rPr>
          <w:rFonts w:ascii="Century Gothic" w:hAnsi="Century Gothic"/>
        </w:rPr>
      </w:pPr>
      <w:r w:rsidRPr="002846BC">
        <w:rPr>
          <w:rFonts w:ascii="Century Gothic" w:hAnsi="Century Gothic"/>
        </w:rPr>
        <w:lastRenderedPageBreak/>
        <w:t>En l’état, le document dresse un état des lieux succinct des dispositions existantes tant au niveau wallon que national ou européen. La liste n’est, en l’état, pas exhaustive et permet de mieux appréhender certains aspects ou politiques actuellement en vigueur. En outre, sachant que la législation est actuellement en mutation suite à diverses décisions de la Commission européenne, les mesures légales sont données à titre indicatif et ne préjugent en aucun cas des négociations futures qui seront menées dans le cadre de l’adoption des réglementations au niveau national et régional.</w:t>
      </w:r>
    </w:p>
    <w:p w:rsidR="00756CB3" w:rsidRPr="002846BC" w:rsidRDefault="00BE0978" w:rsidP="00FF0BF8">
      <w:pPr>
        <w:rPr>
          <w:rFonts w:ascii="Century Gothic" w:eastAsiaTheme="majorEastAsia" w:hAnsi="Century Gothic" w:cstheme="majorBidi"/>
          <w:b/>
          <w:bCs/>
          <w:color w:val="365F91" w:themeColor="accent1" w:themeShade="BF"/>
        </w:rPr>
      </w:pPr>
      <w:r w:rsidRPr="002846BC">
        <w:rPr>
          <w:rFonts w:ascii="Century Gothic" w:hAnsi="Century Gothic"/>
        </w:rPr>
        <w:t>Le document ne brosse donc qu’un instantané du moment et se veut le plus ouvert possible sans qu’il ne soit tenu compte d’une philosophie dominante ou d’une politique</w:t>
      </w:r>
      <w:r w:rsidR="002846BC">
        <w:rPr>
          <w:rFonts w:ascii="Century Gothic" w:hAnsi="Century Gothic"/>
        </w:rPr>
        <w:t xml:space="preserve"> </w:t>
      </w:r>
      <w:r w:rsidRPr="002846BC">
        <w:rPr>
          <w:rFonts w:ascii="Century Gothic" w:hAnsi="Century Gothic"/>
        </w:rPr>
        <w:t>trop restrictive.</w:t>
      </w:r>
      <w:r w:rsidR="00756CB3" w:rsidRPr="002846BC">
        <w:rPr>
          <w:rFonts w:ascii="Century Gothic" w:hAnsi="Century Gothic"/>
        </w:rPr>
        <w:br w:type="page"/>
      </w:r>
    </w:p>
    <w:p w:rsidR="00F45A69" w:rsidRPr="002846BC" w:rsidRDefault="00F45A69" w:rsidP="005E6D7F">
      <w:pPr>
        <w:jc w:val="both"/>
        <w:rPr>
          <w:rFonts w:ascii="Century Gothic" w:hAnsi="Century Gothic"/>
        </w:rPr>
      </w:pPr>
    </w:p>
    <w:p w:rsidR="0016690D" w:rsidRPr="002846BC" w:rsidRDefault="00FD4DAB" w:rsidP="0075602F">
      <w:pPr>
        <w:pStyle w:val="Titre1"/>
        <w:numPr>
          <w:ilvl w:val="0"/>
          <w:numId w:val="18"/>
        </w:numPr>
        <w:rPr>
          <w:rFonts w:ascii="Century Gothic" w:hAnsi="Century Gothic"/>
          <w:sz w:val="22"/>
          <w:szCs w:val="22"/>
        </w:rPr>
      </w:pPr>
      <w:bookmarkStart w:id="3" w:name="_Toc475972061"/>
      <w:r w:rsidRPr="002846BC">
        <w:rPr>
          <w:rFonts w:ascii="Century Gothic" w:hAnsi="Century Gothic"/>
          <w:sz w:val="22"/>
          <w:szCs w:val="22"/>
        </w:rPr>
        <w:t xml:space="preserve">Etat des lieux </w:t>
      </w:r>
      <w:r w:rsidR="0016690D" w:rsidRPr="002846BC">
        <w:rPr>
          <w:rFonts w:ascii="Century Gothic" w:hAnsi="Century Gothic"/>
          <w:sz w:val="22"/>
          <w:szCs w:val="22"/>
        </w:rPr>
        <w:t>des politiques et mesures existantes</w:t>
      </w:r>
      <w:r w:rsidR="001C1FBC" w:rsidRPr="002846BC">
        <w:rPr>
          <w:rFonts w:ascii="Century Gothic" w:hAnsi="Century Gothic"/>
          <w:sz w:val="22"/>
          <w:szCs w:val="22"/>
        </w:rPr>
        <w:t xml:space="preserve"> en matière de politiques énergétique et climatique</w:t>
      </w:r>
      <w:r w:rsidR="005E6D7F" w:rsidRPr="002846BC">
        <w:rPr>
          <w:rFonts w:ascii="Century Gothic" w:hAnsi="Century Gothic"/>
          <w:sz w:val="22"/>
          <w:szCs w:val="22"/>
        </w:rPr>
        <w:t xml:space="preserve"> liées à la mobilité et au transport</w:t>
      </w:r>
      <w:bookmarkEnd w:id="3"/>
    </w:p>
    <w:p w:rsidR="0016690D" w:rsidRPr="002846BC" w:rsidRDefault="0016690D">
      <w:pPr>
        <w:rPr>
          <w:rFonts w:ascii="Century Gothic" w:hAnsi="Century Gothic"/>
        </w:rPr>
      </w:pPr>
    </w:p>
    <w:p w:rsidR="0016690D" w:rsidRPr="002846BC" w:rsidRDefault="0075602F" w:rsidP="0075602F">
      <w:pPr>
        <w:pStyle w:val="Titre2"/>
        <w:numPr>
          <w:ilvl w:val="1"/>
          <w:numId w:val="18"/>
        </w:numPr>
        <w:rPr>
          <w:rFonts w:ascii="Century Gothic" w:hAnsi="Century Gothic"/>
          <w:sz w:val="22"/>
          <w:szCs w:val="22"/>
        </w:rPr>
      </w:pPr>
      <w:bookmarkStart w:id="4" w:name="_Toc475972062"/>
      <w:r w:rsidRPr="002846BC">
        <w:rPr>
          <w:rFonts w:ascii="Century Gothic" w:hAnsi="Century Gothic"/>
          <w:sz w:val="22"/>
          <w:szCs w:val="22"/>
        </w:rPr>
        <w:t>Le transport et la mobilité : dimensions climatique et énergétique</w:t>
      </w:r>
      <w:bookmarkEnd w:id="4"/>
    </w:p>
    <w:p w:rsidR="00A73490" w:rsidRPr="002846BC" w:rsidRDefault="00A73490" w:rsidP="00A73490">
      <w:pPr>
        <w:rPr>
          <w:rFonts w:ascii="Century Gothic" w:hAnsi="Century Gothic"/>
        </w:rPr>
      </w:pPr>
    </w:p>
    <w:p w:rsidR="005E6D7F" w:rsidRPr="002846BC" w:rsidRDefault="0075602F" w:rsidP="002801CD">
      <w:pPr>
        <w:jc w:val="both"/>
        <w:rPr>
          <w:rFonts w:ascii="Century Gothic" w:hAnsi="Century Gothic"/>
        </w:rPr>
      </w:pPr>
      <w:r w:rsidRPr="002846BC">
        <w:rPr>
          <w:rFonts w:ascii="Century Gothic" w:hAnsi="Century Gothic"/>
        </w:rPr>
        <w:t>Au niveau climatique, d</w:t>
      </w:r>
      <w:r w:rsidR="00B252CD" w:rsidRPr="002846BC">
        <w:rPr>
          <w:rFonts w:ascii="Century Gothic" w:hAnsi="Century Gothic"/>
        </w:rPr>
        <w:t>epuis 1991, la Commission européenne a initié un mécanisme de décarbonat</w:t>
      </w:r>
      <w:r w:rsidR="005E6308">
        <w:rPr>
          <w:rFonts w:ascii="Century Gothic" w:hAnsi="Century Gothic"/>
        </w:rPr>
        <w:t>at</w:t>
      </w:r>
      <w:r w:rsidR="00B252CD" w:rsidRPr="002846BC">
        <w:rPr>
          <w:rFonts w:ascii="Century Gothic" w:hAnsi="Century Gothic"/>
        </w:rPr>
        <w:t>ion du secteur du transport via la mise en œuvre de normes environnementales dans le secteur du transport et plus spécifiquement des véhicules automoteurs (voiture et véhicules utilitaires</w:t>
      </w:r>
      <w:r w:rsidR="004E76D8" w:rsidRPr="002846BC">
        <w:rPr>
          <w:rFonts w:ascii="Century Gothic" w:hAnsi="Century Gothic"/>
        </w:rPr>
        <w:t xml:space="preserve"> légers ou lourds</w:t>
      </w:r>
      <w:r w:rsidR="00B252CD" w:rsidRPr="002846BC">
        <w:rPr>
          <w:rFonts w:ascii="Century Gothic" w:hAnsi="Century Gothic"/>
        </w:rPr>
        <w:t xml:space="preserve">). La norme EURO I est entrée en vigueur en 1992 et a, depuis lors, </w:t>
      </w:r>
      <w:r w:rsidR="005951EB" w:rsidRPr="002846BC">
        <w:rPr>
          <w:rFonts w:ascii="Century Gothic" w:hAnsi="Century Gothic"/>
        </w:rPr>
        <w:t>subi une évolution constante pour atteindre, aujourd’hui, la norme EURO VI qui a fixé des objectifs harmonisés pour les divers carburants fossiles</w:t>
      </w:r>
      <w:r w:rsidR="00A37063" w:rsidRPr="002846BC">
        <w:rPr>
          <w:rFonts w:ascii="Century Gothic" w:hAnsi="Century Gothic"/>
        </w:rPr>
        <w:t>.</w:t>
      </w:r>
    </w:p>
    <w:p w:rsidR="00A37063" w:rsidRPr="002846BC" w:rsidRDefault="007F5D5A" w:rsidP="00235401">
      <w:pPr>
        <w:jc w:val="both"/>
        <w:rPr>
          <w:rFonts w:ascii="Century Gothic" w:hAnsi="Century Gothic"/>
        </w:rPr>
      </w:pPr>
      <w:r w:rsidRPr="002846BC">
        <w:rPr>
          <w:rFonts w:ascii="Century Gothic" w:hAnsi="Century Gothic"/>
        </w:rPr>
        <w:t>Parallèlement, la Commission a lancé un vaste chantier afin de concrétiser le système européen de transport intelligent via l’optimisation du réseau « GALILEO ». Ce système devrait, à terme, permettre la fluidification des flux routiers et accélérer les solutions de conduite autonome et de gestion intelligente de la circulation</w:t>
      </w:r>
      <w:r w:rsidR="00507062" w:rsidRPr="002846BC">
        <w:rPr>
          <w:rFonts w:ascii="Century Gothic" w:hAnsi="Century Gothic"/>
        </w:rPr>
        <w:t xml:space="preserve"> avec, à terme, une amélioration de l’efficacité énergétique des véhicules. </w:t>
      </w:r>
    </w:p>
    <w:p w:rsidR="00C50884" w:rsidRPr="002846BC" w:rsidRDefault="00B12F3A" w:rsidP="001409CF">
      <w:pPr>
        <w:jc w:val="both"/>
        <w:rPr>
          <w:rFonts w:ascii="Century Gothic" w:hAnsi="Century Gothic"/>
          <w:lang w:val="fr-FR"/>
        </w:rPr>
      </w:pPr>
      <w:r w:rsidRPr="002846BC">
        <w:rPr>
          <w:rFonts w:ascii="Century Gothic" w:hAnsi="Century Gothic"/>
        </w:rPr>
        <w:t xml:space="preserve">Les objectifs en matière de réduction des GES dans le secteur du transport ont été directement intégrés dans les objectifs non-ETS (Emissions </w:t>
      </w:r>
      <w:proofErr w:type="spellStart"/>
      <w:r w:rsidRPr="002846BC">
        <w:rPr>
          <w:rFonts w:ascii="Century Gothic" w:hAnsi="Century Gothic"/>
        </w:rPr>
        <w:t>trading</w:t>
      </w:r>
      <w:proofErr w:type="spellEnd"/>
      <w:r w:rsidRPr="002846BC">
        <w:rPr>
          <w:rFonts w:ascii="Century Gothic" w:hAnsi="Century Gothic"/>
        </w:rPr>
        <w:t xml:space="preserve"> </w:t>
      </w:r>
      <w:proofErr w:type="spellStart"/>
      <w:r w:rsidRPr="002846BC">
        <w:rPr>
          <w:rFonts w:ascii="Century Gothic" w:hAnsi="Century Gothic"/>
        </w:rPr>
        <w:t>schemes</w:t>
      </w:r>
      <w:proofErr w:type="spellEnd"/>
      <w:r w:rsidRPr="002846BC">
        <w:rPr>
          <w:rFonts w:ascii="Century Gothic" w:hAnsi="Century Gothic"/>
        </w:rPr>
        <w:t xml:space="preserve">), à savoir transports, bâtiments, agriculture,… </w:t>
      </w:r>
      <w:r w:rsidR="00C50884" w:rsidRPr="002846BC">
        <w:rPr>
          <w:rFonts w:ascii="Century Gothic" w:hAnsi="Century Gothic"/>
        </w:rPr>
        <w:t xml:space="preserve"> </w:t>
      </w:r>
      <w:r w:rsidR="00E75C61" w:rsidRPr="002846BC">
        <w:rPr>
          <w:rFonts w:ascii="Century Gothic" w:hAnsi="Century Gothic"/>
          <w:lang w:val="fr-FR"/>
        </w:rPr>
        <w:t>Les objectifs, pour</w:t>
      </w:r>
      <w:r w:rsidR="00C50884" w:rsidRPr="002846BC">
        <w:rPr>
          <w:rFonts w:ascii="Century Gothic" w:hAnsi="Century Gothic"/>
          <w:lang w:val="fr-FR"/>
        </w:rPr>
        <w:t xml:space="preserve"> la </w:t>
      </w:r>
      <w:r w:rsidR="00E75C61" w:rsidRPr="002846BC">
        <w:rPr>
          <w:rFonts w:ascii="Century Gothic" w:hAnsi="Century Gothic"/>
          <w:lang w:val="fr-FR"/>
        </w:rPr>
        <w:t>Belgique, sont</w:t>
      </w:r>
      <w:r w:rsidR="00C50884" w:rsidRPr="002846BC">
        <w:rPr>
          <w:rFonts w:ascii="Century Gothic" w:hAnsi="Century Gothic"/>
          <w:lang w:val="fr-FR"/>
        </w:rPr>
        <w:t xml:space="preserve"> de :</w:t>
      </w:r>
    </w:p>
    <w:p w:rsidR="00C50884" w:rsidRPr="002846BC" w:rsidRDefault="00C50884" w:rsidP="004F40BC">
      <w:pPr>
        <w:pStyle w:val="Paragraphedeliste"/>
        <w:numPr>
          <w:ilvl w:val="2"/>
          <w:numId w:val="7"/>
        </w:numPr>
        <w:ind w:left="1276"/>
        <w:contextualSpacing w:val="0"/>
        <w:jc w:val="both"/>
        <w:rPr>
          <w:rFonts w:ascii="Century Gothic" w:hAnsi="Century Gothic"/>
          <w:lang w:val="fr-FR"/>
        </w:rPr>
      </w:pPr>
      <w:r w:rsidRPr="002846BC">
        <w:rPr>
          <w:rFonts w:ascii="Century Gothic" w:hAnsi="Century Gothic"/>
          <w:lang w:val="fr-FR"/>
        </w:rPr>
        <w:t xml:space="preserve"> -15% d’émissions de GES par rapport à 2005 en 2020 et celui de la Wallonie de -14,7% après le </w:t>
      </w:r>
      <w:proofErr w:type="spellStart"/>
      <w:r w:rsidRPr="002846BC">
        <w:rPr>
          <w:rFonts w:ascii="Century Gothic" w:hAnsi="Century Gothic"/>
          <w:lang w:val="fr-FR"/>
        </w:rPr>
        <w:t>burden</w:t>
      </w:r>
      <w:proofErr w:type="spellEnd"/>
      <w:r w:rsidRPr="002846BC">
        <w:rPr>
          <w:rFonts w:ascii="Century Gothic" w:hAnsi="Century Gothic"/>
          <w:lang w:val="fr-FR"/>
        </w:rPr>
        <w:t xml:space="preserve"> sharing belge intervenu fin de l’année 2015. </w:t>
      </w:r>
    </w:p>
    <w:p w:rsidR="00C50884" w:rsidRPr="002846BC" w:rsidRDefault="00C50884" w:rsidP="004F40BC">
      <w:pPr>
        <w:pStyle w:val="Paragraphedeliste"/>
        <w:numPr>
          <w:ilvl w:val="2"/>
          <w:numId w:val="7"/>
        </w:numPr>
        <w:ind w:left="1276"/>
        <w:contextualSpacing w:val="0"/>
        <w:jc w:val="both"/>
        <w:rPr>
          <w:rFonts w:ascii="Century Gothic" w:hAnsi="Century Gothic"/>
          <w:lang w:val="fr-FR"/>
        </w:rPr>
      </w:pPr>
      <w:r w:rsidRPr="002846BC">
        <w:rPr>
          <w:rFonts w:ascii="Century Gothic" w:hAnsi="Century Gothic"/>
          <w:lang w:val="fr-FR"/>
        </w:rPr>
        <w:t> -35% par rapport à 2005 en 2030.  </w:t>
      </w:r>
    </w:p>
    <w:p w:rsidR="001409CF" w:rsidRPr="002846BC" w:rsidRDefault="001409CF" w:rsidP="001409CF">
      <w:pPr>
        <w:jc w:val="both"/>
        <w:rPr>
          <w:rFonts w:ascii="Century Gothic" w:hAnsi="Century Gothic"/>
          <w:lang w:val="fr-FR"/>
        </w:rPr>
      </w:pPr>
      <w:r w:rsidRPr="002846BC">
        <w:rPr>
          <w:rFonts w:ascii="Century Gothic" w:hAnsi="Century Gothic"/>
          <w:lang w:val="fr-FR"/>
        </w:rPr>
        <w:t xml:space="preserve">Les normes d’émission et l’impact environnemental des véhicules sont actuellement </w:t>
      </w:r>
      <w:r w:rsidR="00F7552F" w:rsidRPr="002846BC">
        <w:rPr>
          <w:rFonts w:ascii="Century Gothic" w:hAnsi="Century Gothic"/>
          <w:lang w:val="fr-FR"/>
        </w:rPr>
        <w:t>intégrés au niveau de l’</w:t>
      </w:r>
      <w:proofErr w:type="spellStart"/>
      <w:r w:rsidR="00F7552F" w:rsidRPr="002846BC">
        <w:rPr>
          <w:rFonts w:ascii="Century Gothic" w:hAnsi="Century Gothic"/>
          <w:lang w:val="fr-FR"/>
        </w:rPr>
        <w:t>écoscore</w:t>
      </w:r>
      <w:proofErr w:type="spellEnd"/>
      <w:r w:rsidR="00D02F89" w:rsidRPr="002846BC">
        <w:rPr>
          <w:rFonts w:ascii="Century Gothic" w:hAnsi="Century Gothic"/>
          <w:lang w:val="fr-FR"/>
        </w:rPr>
        <w:t xml:space="preserve"> qui a une valeur normative au niveau belge. Au niveau wallon, le calcul de l’impact environnemental </w:t>
      </w:r>
      <w:r w:rsidR="00391420" w:rsidRPr="002846BC">
        <w:rPr>
          <w:rFonts w:ascii="Century Gothic" w:hAnsi="Century Gothic"/>
          <w:lang w:val="fr-FR"/>
        </w:rPr>
        <w:t xml:space="preserve">des véhicules dans le calcul de l’éco-malus </w:t>
      </w:r>
      <w:r w:rsidR="00D02F89" w:rsidRPr="002846BC">
        <w:rPr>
          <w:rFonts w:ascii="Century Gothic" w:hAnsi="Century Gothic"/>
          <w:lang w:val="fr-FR"/>
        </w:rPr>
        <w:t>est adapté en fonction des seules normes d’émissions.</w:t>
      </w:r>
    </w:p>
    <w:p w:rsidR="00E75C61" w:rsidRPr="002846BC" w:rsidRDefault="006C5FF4" w:rsidP="001409CF">
      <w:pPr>
        <w:jc w:val="both"/>
        <w:rPr>
          <w:rFonts w:ascii="Century Gothic" w:hAnsi="Century Gothic"/>
          <w:lang w:val="fr-FR"/>
        </w:rPr>
      </w:pPr>
      <w:r w:rsidRPr="002846BC">
        <w:rPr>
          <w:rFonts w:ascii="Century Gothic" w:hAnsi="Century Gothic"/>
          <w:lang w:val="fr-FR"/>
        </w:rPr>
        <w:t xml:space="preserve">En ce qui concerne </w:t>
      </w:r>
      <w:r w:rsidR="004F40BC" w:rsidRPr="002846BC">
        <w:rPr>
          <w:rFonts w:ascii="Century Gothic" w:hAnsi="Century Gothic"/>
          <w:lang w:val="fr-FR"/>
        </w:rPr>
        <w:t>la rationalisation de l’usage des véhicules ou la promotion de modes alternatifs de déplacement, aucune norme ou législation n’est en vigueur</w:t>
      </w:r>
      <w:r w:rsidR="00E75C61" w:rsidRPr="002846BC">
        <w:rPr>
          <w:rFonts w:ascii="Century Gothic" w:hAnsi="Century Gothic"/>
          <w:lang w:val="fr-FR"/>
        </w:rPr>
        <w:t xml:space="preserve"> actuellement</w:t>
      </w:r>
      <w:r w:rsidR="004F40BC" w:rsidRPr="002846BC">
        <w:rPr>
          <w:rFonts w:ascii="Century Gothic" w:hAnsi="Century Gothic"/>
          <w:lang w:val="fr-FR"/>
        </w:rPr>
        <w:t xml:space="preserve"> permettant, encourageant en imposant de telles pratiques</w:t>
      </w:r>
      <w:r w:rsidR="00E75C61" w:rsidRPr="002846BC">
        <w:rPr>
          <w:rFonts w:ascii="Century Gothic" w:hAnsi="Century Gothic"/>
          <w:lang w:val="fr-FR"/>
        </w:rPr>
        <w:t>. C</w:t>
      </w:r>
      <w:r w:rsidR="004F40BC" w:rsidRPr="002846BC">
        <w:rPr>
          <w:rFonts w:ascii="Century Gothic" w:hAnsi="Century Gothic"/>
          <w:lang w:val="fr-FR"/>
        </w:rPr>
        <w:t xml:space="preserve">elles-ci </w:t>
      </w:r>
      <w:r w:rsidR="00E75C61" w:rsidRPr="002846BC">
        <w:rPr>
          <w:rFonts w:ascii="Century Gothic" w:hAnsi="Century Gothic"/>
          <w:lang w:val="fr-FR"/>
        </w:rPr>
        <w:t xml:space="preserve">relèvent </w:t>
      </w:r>
      <w:r w:rsidR="004F40BC" w:rsidRPr="002846BC">
        <w:rPr>
          <w:rFonts w:ascii="Century Gothic" w:hAnsi="Century Gothic"/>
          <w:lang w:val="fr-FR"/>
        </w:rPr>
        <w:t>donc plus de l’initiative ou d’opportunités que de réelles stratégies planifiées.</w:t>
      </w:r>
    </w:p>
    <w:p w:rsidR="0058559A" w:rsidRPr="002846BC" w:rsidRDefault="0058559A" w:rsidP="0058559A">
      <w:pPr>
        <w:jc w:val="both"/>
        <w:rPr>
          <w:rFonts w:ascii="Century Gothic" w:hAnsi="Century Gothic"/>
        </w:rPr>
      </w:pPr>
      <w:r w:rsidRPr="002846BC">
        <w:rPr>
          <w:rFonts w:ascii="Century Gothic" w:hAnsi="Century Gothic"/>
        </w:rPr>
        <w:t>La dimension énergétique du transport</w:t>
      </w:r>
      <w:r w:rsidR="0075602F" w:rsidRPr="002846BC">
        <w:rPr>
          <w:rFonts w:ascii="Century Gothic" w:hAnsi="Century Gothic"/>
        </w:rPr>
        <w:t>, quant à elle,</w:t>
      </w:r>
      <w:r w:rsidRPr="002846BC">
        <w:rPr>
          <w:rFonts w:ascii="Century Gothic" w:hAnsi="Century Gothic"/>
        </w:rPr>
        <w:t xml:space="preserve"> n’a toujours que transparu de manière indirecte jusqu’à présent. Les seuls indicateurs s’y référant étaient considérés au travers des bilans énergétiques reprenant la consommation d’énergie </w:t>
      </w:r>
      <w:r w:rsidRPr="002846BC">
        <w:rPr>
          <w:rFonts w:ascii="Century Gothic" w:hAnsi="Century Gothic"/>
        </w:rPr>
        <w:lastRenderedPageBreak/>
        <w:t>primaire (produits pétroliers). Prenons, à titre d’exemple, les bilans énergétiques pour l’année 2012 : la consommation énergétique du  transport s’établissait à 36,9TWh avec une large prédominance de la part routière (dont 1/3 pour le seul secteur du transport de marchandises) et, partant, des dérivés pétroliers.</w:t>
      </w:r>
    </w:p>
    <w:p w:rsidR="0058559A" w:rsidRPr="002846BC" w:rsidRDefault="00372EEB" w:rsidP="0058559A">
      <w:pPr>
        <w:jc w:val="both"/>
        <w:rPr>
          <w:rFonts w:ascii="Century Gothic" w:hAnsi="Century Gothic"/>
        </w:rPr>
      </w:pPr>
      <w:r w:rsidRPr="002846BC">
        <w:rPr>
          <w:rFonts w:ascii="Century Gothic" w:hAnsi="Century Gothic"/>
          <w:noProof/>
          <w:lang w:eastAsia="fr-BE"/>
        </w:rPr>
        <w:drawing>
          <wp:inline distT="0" distB="0" distL="0" distR="0">
            <wp:extent cx="5760720" cy="2101446"/>
            <wp:effectExtent l="19050" t="0" r="0" b="0"/>
            <wp:docPr id="5" name="Image 1" descr="Le transport e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transport en 2012"/>
                    <pic:cNvPicPr>
                      <a:picLocks noChangeAspect="1" noChangeArrowheads="1"/>
                    </pic:cNvPicPr>
                  </pic:nvPicPr>
                  <pic:blipFill>
                    <a:blip r:embed="rId13" cstate="print"/>
                    <a:srcRect/>
                    <a:stretch>
                      <a:fillRect/>
                    </a:stretch>
                  </pic:blipFill>
                  <pic:spPr bwMode="auto">
                    <a:xfrm>
                      <a:off x="0" y="0"/>
                      <a:ext cx="5760720" cy="2101446"/>
                    </a:xfrm>
                    <a:prstGeom prst="rect">
                      <a:avLst/>
                    </a:prstGeom>
                    <a:noFill/>
                    <a:ln w="9525">
                      <a:noFill/>
                      <a:miter lim="800000"/>
                      <a:headEnd/>
                      <a:tailEnd/>
                    </a:ln>
                  </pic:spPr>
                </pic:pic>
              </a:graphicData>
            </a:graphic>
          </wp:inline>
        </w:drawing>
      </w:r>
    </w:p>
    <w:p w:rsidR="0058559A" w:rsidRPr="002846BC" w:rsidRDefault="0058559A" w:rsidP="0058559A">
      <w:pPr>
        <w:jc w:val="both"/>
        <w:rPr>
          <w:rFonts w:ascii="Century Gothic" w:hAnsi="Century Gothic"/>
        </w:rPr>
      </w:pPr>
      <w:r w:rsidRPr="002846BC">
        <w:rPr>
          <w:rFonts w:ascii="Century Gothic" w:hAnsi="Century Gothic"/>
        </w:rPr>
        <w:t xml:space="preserve"> La crise économique de 2008 et le pic pétrolier de 2009 a précipité une réflexion croissante sur l’avenir post-pétrolier dans le secteur automobile. Début des années 2010, les grands constructeurs ont précipité la sortie de divers modèles à carburants alternatifs (électricité et gaz naturel) et imposé une nouvelle réflexion sur les schémas d’approvisionnement et sur l’impact de l’accroissement de ces véhicules sur les réseaux. </w:t>
      </w:r>
    </w:p>
    <w:p w:rsidR="0058559A" w:rsidRPr="002846BC" w:rsidRDefault="0058559A" w:rsidP="0058559A">
      <w:pPr>
        <w:jc w:val="both"/>
        <w:rPr>
          <w:rFonts w:ascii="Century Gothic" w:hAnsi="Century Gothic"/>
        </w:rPr>
      </w:pPr>
      <w:r w:rsidRPr="002846BC">
        <w:rPr>
          <w:rFonts w:ascii="Century Gothic" w:hAnsi="Century Gothic"/>
        </w:rPr>
        <w:t>Dans sa communication COM(2013)17, la Commission a insisté sur la nécessité de rendre, à terme, l’Europe indépendante des filières d’approvisionnement en produits pétroliers pour le transport et sur la nécessité de développer les carburants alternatifs en demandant aux Etats-Membres d’assurer cette transition.</w:t>
      </w:r>
    </w:p>
    <w:p w:rsidR="0058559A" w:rsidRPr="002846BC" w:rsidRDefault="0058559A" w:rsidP="0058559A">
      <w:pPr>
        <w:jc w:val="both"/>
        <w:rPr>
          <w:rFonts w:ascii="Century Gothic" w:hAnsi="Century Gothic"/>
        </w:rPr>
      </w:pPr>
      <w:r w:rsidRPr="002846BC">
        <w:rPr>
          <w:rFonts w:ascii="Century Gothic" w:hAnsi="Century Gothic"/>
        </w:rPr>
        <w:t xml:space="preserve">La Directive 2014/94/UE sur le déploiement d’une infrastructure en carburants alternatifs doit permettre le déploiement d’une infrastructure minimale suffisante pour lancer le marché des véhicules alternatifs. A cette fin, chaque Etat Membre devait remettre pour le 18 novembre 2016 un cadre d’actions précisant les modalités de ce déploiement et les objectifs attendus aux horizons 2020, 2025 et 2030 et ce, tant dans les transports routiers que fluviaux ou aériens. </w:t>
      </w:r>
    </w:p>
    <w:p w:rsidR="0058559A" w:rsidRPr="002846BC" w:rsidRDefault="0058559A" w:rsidP="0058559A">
      <w:pPr>
        <w:jc w:val="both"/>
        <w:rPr>
          <w:rFonts w:ascii="Century Gothic" w:hAnsi="Century Gothic"/>
        </w:rPr>
      </w:pPr>
      <w:r w:rsidRPr="002846BC">
        <w:rPr>
          <w:rFonts w:ascii="Century Gothic" w:hAnsi="Century Gothic"/>
        </w:rPr>
        <w:t xml:space="preserve">Parallèlement, dans sa série de propositions présentées le 30 novembre 2016 (« Winter Package »), la Commission insiste sur la nécessité d’encadrer au mieux ce déploiement à venir de véhicules, principalement les véhicules électriques qui auront une incidence majeure sur les réseaux électriques. </w:t>
      </w:r>
    </w:p>
    <w:p w:rsidR="0058559A" w:rsidRPr="002846BC" w:rsidRDefault="0058559A" w:rsidP="0058559A">
      <w:pPr>
        <w:jc w:val="both"/>
        <w:rPr>
          <w:rFonts w:ascii="Century Gothic" w:hAnsi="Century Gothic"/>
        </w:rPr>
      </w:pPr>
      <w:r w:rsidRPr="002846BC">
        <w:rPr>
          <w:rFonts w:ascii="Century Gothic" w:hAnsi="Century Gothic"/>
        </w:rPr>
        <w:t>Certains pays ont déjà annoncé renoncer massivement aux véhicules thermiques (en ce compris le CNG) d’ici à un horizon 2025-2030. C’est le cas de la Norvège, de la Suède et, dans une certaine mesure, des Pays-Bas. L’intention a également été portée par le Parlement flamand en Région flamande. Cette situation risque de devenir une tendance croissante dans les années à venir.</w:t>
      </w:r>
    </w:p>
    <w:p w:rsidR="0058559A" w:rsidRPr="002846BC" w:rsidRDefault="0058559A" w:rsidP="0058559A">
      <w:pPr>
        <w:jc w:val="both"/>
        <w:rPr>
          <w:rFonts w:ascii="Century Gothic" w:hAnsi="Century Gothic"/>
        </w:rPr>
      </w:pPr>
      <w:r w:rsidRPr="002846BC">
        <w:rPr>
          <w:rFonts w:ascii="Century Gothic" w:hAnsi="Century Gothic"/>
        </w:rPr>
        <w:lastRenderedPageBreak/>
        <w:t>Les deux objectifs actuels, en l’absence d’une réelle concertation sur le sujet en Belgique et en Europe où la Commission compose, d’une part, avec le secteur et, d’autre part, avec les impératifs environnementaux  sont :</w:t>
      </w:r>
    </w:p>
    <w:p w:rsidR="0058559A" w:rsidRPr="002846BC" w:rsidRDefault="0058559A" w:rsidP="0058559A">
      <w:pPr>
        <w:pStyle w:val="Paragraphedeliste"/>
        <w:numPr>
          <w:ilvl w:val="0"/>
          <w:numId w:val="11"/>
        </w:numPr>
        <w:jc w:val="both"/>
        <w:rPr>
          <w:rFonts w:ascii="Century Gothic" w:hAnsi="Century Gothic"/>
          <w:lang w:val="fr-FR"/>
        </w:rPr>
      </w:pPr>
      <w:r w:rsidRPr="002846BC">
        <w:rPr>
          <w:rFonts w:ascii="Century Gothic" w:hAnsi="Century Gothic"/>
          <w:lang w:val="fr-FR"/>
        </w:rPr>
        <w:t xml:space="preserve">La sécurité du réseau. Un transfert vers le « tout électrique » du parc automobile imposerait que le quart de la production énergétique européenne soit spécifiquement dédiée au transport de personnes. Ce chiffre se vérifie également pour la Wallonie. A terme, avec la croissance attendue des énergies renouvelables et leur impact sur le réseau, la nécessité de rendre le réseau capable de supporter ces charges fluctuantes deviendra une obligation à prendre en compte tant dans les stratégies politiques que dans les plans d’investissements des gestionnaires de réseaux </w:t>
      </w:r>
      <w:r w:rsidR="002846BC" w:rsidRPr="002846BC">
        <w:rPr>
          <w:rFonts w:ascii="Century Gothic" w:hAnsi="Century Gothic"/>
          <w:lang w:val="fr-FR"/>
        </w:rPr>
        <w:t>(distribution essentiellement) ;</w:t>
      </w:r>
    </w:p>
    <w:p w:rsidR="002846BC" w:rsidRPr="002846BC" w:rsidRDefault="002846BC" w:rsidP="002846BC">
      <w:pPr>
        <w:pStyle w:val="Paragraphedeliste"/>
        <w:jc w:val="both"/>
        <w:rPr>
          <w:rFonts w:ascii="Century Gothic" w:hAnsi="Century Gothic"/>
          <w:lang w:val="fr-FR"/>
        </w:rPr>
      </w:pPr>
    </w:p>
    <w:p w:rsidR="0058559A" w:rsidRPr="002846BC" w:rsidRDefault="0058559A" w:rsidP="0058559A">
      <w:pPr>
        <w:pStyle w:val="Paragraphedeliste"/>
        <w:numPr>
          <w:ilvl w:val="0"/>
          <w:numId w:val="11"/>
        </w:numPr>
        <w:jc w:val="both"/>
        <w:rPr>
          <w:rFonts w:ascii="Century Gothic" w:hAnsi="Century Gothic"/>
          <w:lang w:val="fr-FR"/>
        </w:rPr>
      </w:pPr>
      <w:r w:rsidRPr="002846BC">
        <w:rPr>
          <w:rFonts w:ascii="Century Gothic" w:hAnsi="Century Gothic"/>
          <w:lang w:val="fr-FR"/>
        </w:rPr>
        <w:t>L’effet rebond. Le passage à la mobilité électrique nécessitera la fourniture massive de nouveaux types de matières premières. Actuellement, le lithium d’une part et les terres rares d’autre part vont devenir des enjeux stratégiques importants et le risque de passer d’une dépendance (pétrole) à une autre devra être évité au mieux.</w:t>
      </w:r>
    </w:p>
    <w:p w:rsidR="0058559A" w:rsidRDefault="0058559A" w:rsidP="0058559A">
      <w:pPr>
        <w:jc w:val="both"/>
        <w:rPr>
          <w:rFonts w:ascii="Century Gothic" w:hAnsi="Century Gothic"/>
          <w:lang w:val="fr-FR"/>
        </w:rPr>
      </w:pPr>
      <w:r w:rsidRPr="002846BC">
        <w:rPr>
          <w:rFonts w:ascii="Century Gothic" w:hAnsi="Century Gothic"/>
          <w:lang w:val="fr-FR"/>
        </w:rPr>
        <w:t xml:space="preserve">Il est à noter que le secteur du transport de biens ou de masse souffrira d’un problème différent dans la mesure où il risquera de rester dépendant des produits pétroliers ou du gaz naturel en l’absence d’un modèle électrique qui satisfasse. En effet, il semble de plus en plus évident que l’hydrogène, qui reste potentiellement le vecteur le plus intéressant pour le transport lourd, n’atteindra sa maturité technologique que vers 2025-2030. </w:t>
      </w:r>
    </w:p>
    <w:p w:rsidR="00806E6E" w:rsidRDefault="00425550" w:rsidP="0058559A">
      <w:pPr>
        <w:jc w:val="both"/>
        <w:rPr>
          <w:rFonts w:ascii="Century Gothic" w:hAnsi="Century Gothic"/>
          <w:lang w:val="fr-FR"/>
        </w:rPr>
      </w:pPr>
      <w:r>
        <w:rPr>
          <w:rFonts w:ascii="Century Gothic" w:hAnsi="Century Gothic"/>
          <w:lang w:val="fr-FR"/>
        </w:rPr>
        <w:t>Parallèlement à ce débat sur un éventuel transfert énergétique, l’usage des biocarburants</w:t>
      </w:r>
      <w:r w:rsidR="00806E6E">
        <w:rPr>
          <w:rFonts w:ascii="Century Gothic" w:hAnsi="Century Gothic"/>
          <w:lang w:val="fr-FR"/>
        </w:rPr>
        <w:t>,</w:t>
      </w:r>
      <w:r>
        <w:rPr>
          <w:rFonts w:ascii="Century Gothic" w:hAnsi="Century Gothic"/>
          <w:lang w:val="fr-FR"/>
        </w:rPr>
        <w:t xml:space="preserve"> déjà bien ancré dans le secteur pétrolier</w:t>
      </w:r>
      <w:r w:rsidR="00806E6E">
        <w:rPr>
          <w:rFonts w:ascii="Century Gothic" w:hAnsi="Century Gothic"/>
          <w:lang w:val="fr-FR"/>
        </w:rPr>
        <w:t>,</w:t>
      </w:r>
      <w:r>
        <w:rPr>
          <w:rFonts w:ascii="Century Gothic" w:hAnsi="Century Gothic"/>
          <w:lang w:val="fr-FR"/>
        </w:rPr>
        <w:t xml:space="preserve"> prendra une part prépondérante à l’avenir. Actuellement, leur usage s’établit à 3,28% et 4,09% respectivement pour le diesel et l’essence (données bilans). </w:t>
      </w:r>
    </w:p>
    <w:p w:rsidR="00806E6E" w:rsidRDefault="00425550" w:rsidP="0058559A">
      <w:pPr>
        <w:jc w:val="both"/>
        <w:rPr>
          <w:rFonts w:ascii="Century Gothic" w:hAnsi="Century Gothic"/>
          <w:lang w:val="fr-FR"/>
        </w:rPr>
      </w:pPr>
      <w:r>
        <w:rPr>
          <w:rFonts w:ascii="Century Gothic" w:hAnsi="Century Gothic"/>
          <w:lang w:val="fr-FR"/>
        </w:rPr>
        <w:t>La Directive 2009/28/UE prévoit un objectif d’incorporation global à 10% de la consommation énergétique global dans le secteur du transport (route et rail) d’ici à 2020.</w:t>
      </w:r>
    </w:p>
    <w:p w:rsidR="00806E6E" w:rsidRDefault="0034006E" w:rsidP="0058559A">
      <w:pPr>
        <w:jc w:val="both"/>
        <w:rPr>
          <w:rFonts w:ascii="Century Gothic" w:hAnsi="Century Gothic"/>
          <w:lang w:val="fr-FR"/>
        </w:rPr>
      </w:pPr>
      <w:r>
        <w:rPr>
          <w:rFonts w:ascii="Century Gothic" w:hAnsi="Century Gothic"/>
          <w:lang w:val="fr-FR"/>
        </w:rPr>
        <w:t xml:space="preserve">La Directive 2015/1513 UE a quelque peu modifié ces objectifs, en introduisant un plafond maximum de </w:t>
      </w:r>
      <w:r w:rsidR="00963F0D">
        <w:rPr>
          <w:rFonts w:ascii="Century Gothic" w:hAnsi="Century Gothic"/>
          <w:lang w:val="fr-FR"/>
        </w:rPr>
        <w:t xml:space="preserve">7 % pour l’utilisation de biocarburants « conventionnels » </w:t>
      </w:r>
      <w:r>
        <w:rPr>
          <w:rFonts w:ascii="Century Gothic" w:hAnsi="Century Gothic"/>
          <w:lang w:val="fr-FR"/>
        </w:rPr>
        <w:t xml:space="preserve">et un </w:t>
      </w:r>
      <w:r w:rsidR="00963F0D">
        <w:rPr>
          <w:rFonts w:ascii="Century Gothic" w:hAnsi="Century Gothic"/>
          <w:lang w:val="fr-FR"/>
        </w:rPr>
        <w:t>objectif indicatif de 0,5% de biocarburants « avancés ».</w:t>
      </w:r>
      <w:r>
        <w:rPr>
          <w:rFonts w:ascii="Century Gothic" w:hAnsi="Century Gothic"/>
          <w:lang w:val="fr-FR"/>
        </w:rPr>
        <w:t xml:space="preserve"> </w:t>
      </w:r>
    </w:p>
    <w:p w:rsidR="00806E6E" w:rsidRDefault="00963F0D" w:rsidP="0058559A">
      <w:pPr>
        <w:jc w:val="both"/>
        <w:rPr>
          <w:rFonts w:ascii="Century Gothic" w:hAnsi="Century Gothic"/>
          <w:lang w:val="fr-FR"/>
        </w:rPr>
      </w:pPr>
      <w:r>
        <w:rPr>
          <w:rFonts w:ascii="Century Gothic" w:hAnsi="Century Gothic"/>
          <w:lang w:val="fr-FR"/>
        </w:rPr>
        <w:t xml:space="preserve">Dans le cadre du </w:t>
      </w:r>
      <w:r w:rsidR="00806E6E">
        <w:rPr>
          <w:rFonts w:ascii="Century Gothic" w:hAnsi="Century Gothic"/>
          <w:lang w:val="fr-FR"/>
        </w:rPr>
        <w:t>« C</w:t>
      </w:r>
      <w:r>
        <w:rPr>
          <w:rFonts w:ascii="Century Gothic" w:hAnsi="Century Gothic"/>
          <w:lang w:val="fr-FR"/>
        </w:rPr>
        <w:t xml:space="preserve">lean </w:t>
      </w:r>
      <w:proofErr w:type="spellStart"/>
      <w:r w:rsidR="00806E6E">
        <w:rPr>
          <w:rFonts w:ascii="Century Gothic" w:hAnsi="Century Gothic"/>
          <w:lang w:val="fr-FR"/>
        </w:rPr>
        <w:t>E</w:t>
      </w:r>
      <w:r>
        <w:rPr>
          <w:rFonts w:ascii="Century Gothic" w:hAnsi="Century Gothic"/>
          <w:lang w:val="fr-FR"/>
        </w:rPr>
        <w:t>nergy</w:t>
      </w:r>
      <w:proofErr w:type="spellEnd"/>
      <w:r>
        <w:rPr>
          <w:rFonts w:ascii="Century Gothic" w:hAnsi="Century Gothic"/>
          <w:lang w:val="fr-FR"/>
        </w:rPr>
        <w:t xml:space="preserve"> </w:t>
      </w:r>
      <w:r w:rsidR="00806E6E">
        <w:rPr>
          <w:rFonts w:ascii="Century Gothic" w:hAnsi="Century Gothic"/>
          <w:lang w:val="fr-FR"/>
        </w:rPr>
        <w:t>P</w:t>
      </w:r>
      <w:r>
        <w:rPr>
          <w:rFonts w:ascii="Century Gothic" w:hAnsi="Century Gothic"/>
          <w:lang w:val="fr-FR"/>
        </w:rPr>
        <w:t>ackage</w:t>
      </w:r>
      <w:r w:rsidR="00806E6E">
        <w:rPr>
          <w:rFonts w:ascii="Century Gothic" w:hAnsi="Century Gothic"/>
          <w:lang w:val="fr-FR"/>
        </w:rPr>
        <w:t> »</w:t>
      </w:r>
      <w:r>
        <w:rPr>
          <w:rFonts w:ascii="Century Gothic" w:hAnsi="Century Gothic"/>
          <w:lang w:val="fr-FR"/>
        </w:rPr>
        <w:t>, l</w:t>
      </w:r>
      <w:r w:rsidR="00425550">
        <w:rPr>
          <w:rFonts w:ascii="Century Gothic" w:hAnsi="Century Gothic"/>
          <w:lang w:val="fr-FR"/>
        </w:rPr>
        <w:t xml:space="preserve">es propositions de modifications de la Directive 2009/28/UE </w:t>
      </w:r>
      <w:r w:rsidR="00806E6E">
        <w:rPr>
          <w:rFonts w:ascii="Century Gothic" w:hAnsi="Century Gothic"/>
          <w:lang w:val="fr-FR"/>
        </w:rPr>
        <w:t>définissent</w:t>
      </w:r>
      <w:r w:rsidR="00425550">
        <w:rPr>
          <w:rFonts w:ascii="Century Gothic" w:hAnsi="Century Gothic"/>
          <w:lang w:val="fr-FR"/>
        </w:rPr>
        <w:t xml:space="preserve"> une trajectoire descendante de cette incorporation de carburants de première génération </w:t>
      </w:r>
      <w:r>
        <w:rPr>
          <w:rFonts w:ascii="Century Gothic" w:hAnsi="Century Gothic"/>
          <w:lang w:val="fr-FR"/>
        </w:rPr>
        <w:t xml:space="preserve">(conventionnels) </w:t>
      </w:r>
      <w:r w:rsidR="00425550">
        <w:rPr>
          <w:rFonts w:ascii="Century Gothic" w:hAnsi="Century Gothic"/>
          <w:lang w:val="fr-FR"/>
        </w:rPr>
        <w:t xml:space="preserve">avec un accroissement de ceux de seconde génération </w:t>
      </w:r>
      <w:r>
        <w:rPr>
          <w:rFonts w:ascii="Century Gothic" w:hAnsi="Century Gothic"/>
          <w:lang w:val="fr-FR"/>
        </w:rPr>
        <w:t xml:space="preserve">(biocarburants avancés) </w:t>
      </w:r>
      <w:r w:rsidR="00425550">
        <w:rPr>
          <w:rFonts w:ascii="Century Gothic" w:hAnsi="Century Gothic"/>
          <w:lang w:val="fr-FR"/>
        </w:rPr>
        <w:t xml:space="preserve">essentiellement issus des filières non-alimentaires mais encore peu disponibles aujourd’hui. </w:t>
      </w:r>
    </w:p>
    <w:p w:rsidR="00425550" w:rsidRPr="002846BC" w:rsidRDefault="00425550" w:rsidP="0058559A">
      <w:pPr>
        <w:jc w:val="both"/>
        <w:rPr>
          <w:rFonts w:ascii="Century Gothic" w:hAnsi="Century Gothic"/>
          <w:lang w:val="fr-FR"/>
        </w:rPr>
      </w:pPr>
      <w:r>
        <w:rPr>
          <w:rFonts w:ascii="Century Gothic" w:hAnsi="Century Gothic"/>
          <w:lang w:val="fr-FR"/>
        </w:rPr>
        <w:lastRenderedPageBreak/>
        <w:t>Cette mutation au-delà de 2020 peut s’expliquer de diverses façons principalement en lien avec la durabilité des carburants de première génération et leur compétition avec le secteur alimentaire. Quoi qu’il en soit, cette mutation attendue aura un double impact économique</w:t>
      </w:r>
      <w:r w:rsidR="00806E6E">
        <w:rPr>
          <w:rFonts w:ascii="Century Gothic" w:hAnsi="Century Gothic"/>
          <w:lang w:val="fr-FR"/>
        </w:rPr>
        <w:t> :  d</w:t>
      </w:r>
      <w:r>
        <w:rPr>
          <w:rFonts w:ascii="Century Gothic" w:hAnsi="Century Gothic"/>
          <w:lang w:val="fr-FR"/>
        </w:rPr>
        <w:t>’une part pour le secteur qui aura investi presque exclusivement dans les carburants de première génération, d’autre part</w:t>
      </w:r>
      <w:r w:rsidR="00806E6E">
        <w:rPr>
          <w:rFonts w:ascii="Century Gothic" w:hAnsi="Century Gothic"/>
          <w:lang w:val="fr-FR"/>
        </w:rPr>
        <w:t xml:space="preserve">, </w:t>
      </w:r>
      <w:r>
        <w:rPr>
          <w:rFonts w:ascii="Century Gothic" w:hAnsi="Century Gothic"/>
          <w:lang w:val="fr-FR"/>
        </w:rPr>
        <w:t xml:space="preserve"> dans des technologie en cours de maturation qui devront se développer massivement après 2020 avec un impact certain sur le coût des carburants.</w:t>
      </w:r>
    </w:p>
    <w:p w:rsidR="002846BC" w:rsidRDefault="002846BC">
      <w:pPr>
        <w:rPr>
          <w:rFonts w:ascii="Century Gothic" w:hAnsi="Century Gothic"/>
          <w:lang w:val="fr-FR"/>
        </w:rPr>
      </w:pPr>
      <w:r>
        <w:rPr>
          <w:rFonts w:ascii="Century Gothic" w:hAnsi="Century Gothic"/>
          <w:lang w:val="fr-FR"/>
        </w:rPr>
        <w:br w:type="page"/>
      </w:r>
    </w:p>
    <w:p w:rsidR="006C5FF4" w:rsidRPr="002846BC" w:rsidRDefault="006C5FF4" w:rsidP="001409CF">
      <w:pPr>
        <w:jc w:val="both"/>
        <w:rPr>
          <w:rFonts w:ascii="Century Gothic" w:hAnsi="Century Gothic"/>
          <w:lang w:val="fr-FR"/>
        </w:rPr>
      </w:pPr>
    </w:p>
    <w:p w:rsidR="00F16C65" w:rsidRPr="002846BC" w:rsidRDefault="002846BC" w:rsidP="002846BC">
      <w:pPr>
        <w:pStyle w:val="Titre2"/>
        <w:numPr>
          <w:ilvl w:val="1"/>
          <w:numId w:val="18"/>
        </w:numPr>
        <w:rPr>
          <w:rFonts w:ascii="Century Gothic" w:hAnsi="Century Gothic"/>
          <w:sz w:val="22"/>
          <w:szCs w:val="22"/>
        </w:rPr>
      </w:pPr>
      <w:bookmarkStart w:id="5" w:name="_Toc475972063"/>
      <w:r w:rsidRPr="002846BC">
        <w:rPr>
          <w:rFonts w:ascii="Century Gothic" w:hAnsi="Century Gothic"/>
          <w:sz w:val="22"/>
          <w:szCs w:val="22"/>
        </w:rPr>
        <w:t>Les mesures existantes</w:t>
      </w:r>
      <w:bookmarkEnd w:id="5"/>
      <w:r w:rsidRPr="002846BC">
        <w:rPr>
          <w:rFonts w:ascii="Century Gothic" w:hAnsi="Century Gothic"/>
          <w:sz w:val="22"/>
          <w:szCs w:val="22"/>
        </w:rPr>
        <w:t xml:space="preserve"> </w:t>
      </w:r>
    </w:p>
    <w:p w:rsidR="008D4D77" w:rsidRPr="002846BC" w:rsidRDefault="008D4D77" w:rsidP="00A73490">
      <w:pPr>
        <w:rPr>
          <w:rFonts w:ascii="Century Gothic" w:hAnsi="Century Gothic"/>
        </w:rPr>
      </w:pPr>
    </w:p>
    <w:p w:rsidR="005F0538" w:rsidRPr="002846BC" w:rsidRDefault="002846BC" w:rsidP="002846BC">
      <w:pPr>
        <w:pBdr>
          <w:top w:val="single" w:sz="4" w:space="1" w:color="auto"/>
          <w:left w:val="single" w:sz="4" w:space="4" w:color="auto"/>
          <w:bottom w:val="single" w:sz="4" w:space="1" w:color="auto"/>
          <w:right w:val="single" w:sz="4" w:space="4" w:color="auto"/>
        </w:pBdr>
        <w:jc w:val="both"/>
        <w:rPr>
          <w:rFonts w:ascii="Century Gothic" w:hAnsi="Century Gothic"/>
          <w:b/>
          <w:color w:val="1F497D" w:themeColor="text2"/>
        </w:rPr>
      </w:pPr>
      <w:r>
        <w:rPr>
          <w:rFonts w:ascii="Century Gothic" w:hAnsi="Century Gothic"/>
          <w:b/>
          <w:color w:val="1F497D" w:themeColor="text2"/>
        </w:rPr>
        <w:t>Mesures d</w:t>
      </w:r>
      <w:r w:rsidR="005F0538" w:rsidRPr="002846BC">
        <w:rPr>
          <w:rFonts w:ascii="Century Gothic" w:hAnsi="Century Gothic"/>
          <w:b/>
          <w:color w:val="1F497D" w:themeColor="text2"/>
        </w:rPr>
        <w:t>e type réglementaire</w:t>
      </w:r>
    </w:p>
    <w:p w:rsidR="00372EEB" w:rsidRPr="002846BC" w:rsidRDefault="00D8012C" w:rsidP="002846BC">
      <w:pPr>
        <w:jc w:val="both"/>
        <w:rPr>
          <w:rFonts w:ascii="Century Gothic" w:hAnsi="Century Gothic"/>
          <w:b/>
          <w:i/>
          <w:u w:val="single"/>
        </w:rPr>
      </w:pPr>
      <w:r w:rsidRPr="002846BC">
        <w:rPr>
          <w:rFonts w:ascii="Century Gothic" w:hAnsi="Century Gothic"/>
          <w:b/>
          <w:i/>
          <w:u w:val="single"/>
        </w:rPr>
        <w:t xml:space="preserve">Au niveau européen </w:t>
      </w:r>
    </w:p>
    <w:p w:rsidR="00372EEB" w:rsidRPr="002846BC" w:rsidRDefault="00D8012C">
      <w:pPr>
        <w:pStyle w:val="Paragraphedeliste"/>
        <w:numPr>
          <w:ilvl w:val="0"/>
          <w:numId w:val="4"/>
        </w:numPr>
        <w:jc w:val="both"/>
        <w:rPr>
          <w:rFonts w:ascii="Century Gothic" w:eastAsia="Times New Roman" w:hAnsi="Century Gothic" w:cs="Times New Roman"/>
          <w:u w:val="single"/>
          <w:lang w:val="fr-BE" w:eastAsia="fr-BE"/>
        </w:rPr>
      </w:pPr>
      <w:r w:rsidRPr="002846BC">
        <w:rPr>
          <w:rFonts w:ascii="Century Gothic" w:hAnsi="Century Gothic"/>
          <w:lang w:val="fr-BE"/>
        </w:rPr>
        <w:t xml:space="preserve">Règlement 459/2012 du 29 mai 2012 </w:t>
      </w:r>
      <w:r w:rsidRPr="002846BC">
        <w:rPr>
          <w:rFonts w:ascii="Century Gothic" w:eastAsia="Times New Roman" w:hAnsi="Century Gothic" w:cs="Times New Roman"/>
          <w:lang w:val="fr-BE" w:eastAsia="fr-BE"/>
        </w:rPr>
        <w:t xml:space="preserve">modifiant le règlement (CE) no715/2007 du Parlement européen et du Conseil ainsi que le règlement (CE) no692/2008 de la Commission en ce qui concerne les </w:t>
      </w:r>
      <w:r w:rsidRPr="002846BC">
        <w:rPr>
          <w:rFonts w:ascii="Century Gothic" w:eastAsia="Times New Roman" w:hAnsi="Century Gothic" w:cs="Times New Roman"/>
          <w:u w:val="single"/>
          <w:lang w:val="fr-BE" w:eastAsia="fr-BE"/>
        </w:rPr>
        <w:t>émissions des véhicules particuliers et utilitaires légers (Euro 6) ;</w:t>
      </w:r>
    </w:p>
    <w:p w:rsidR="00372EEB" w:rsidRPr="002846BC" w:rsidRDefault="00D8012C">
      <w:pPr>
        <w:pStyle w:val="Paragraphedeliste"/>
        <w:numPr>
          <w:ilvl w:val="0"/>
          <w:numId w:val="4"/>
        </w:numPr>
        <w:jc w:val="both"/>
        <w:rPr>
          <w:rFonts w:ascii="Century Gothic" w:hAnsi="Century Gothic"/>
          <w:u w:val="single"/>
          <w:lang w:val="fr-BE"/>
        </w:rPr>
      </w:pPr>
      <w:r w:rsidRPr="002846BC">
        <w:rPr>
          <w:rFonts w:ascii="Century Gothic" w:hAnsi="Century Gothic"/>
          <w:lang w:val="fr-BE"/>
        </w:rPr>
        <w:t xml:space="preserve">Règlement 595/2009 du 18 juin 2009 relatif à la </w:t>
      </w:r>
      <w:r w:rsidRPr="002846BC">
        <w:rPr>
          <w:rFonts w:ascii="Century Gothic" w:hAnsi="Century Gothic"/>
          <w:u w:val="single"/>
          <w:lang w:val="fr-BE"/>
        </w:rPr>
        <w:t>réception des véhicules à moteur et des moteurs au regard des émissions des véhicules utilitaires lourds (Euro VI) et à l’accès aux informations sur la réparation et l’entretien des véhicules ;</w:t>
      </w:r>
    </w:p>
    <w:p w:rsidR="00372EEB" w:rsidRPr="002846BC" w:rsidRDefault="00D8012C">
      <w:pPr>
        <w:pStyle w:val="Paragraphedeliste"/>
        <w:numPr>
          <w:ilvl w:val="0"/>
          <w:numId w:val="4"/>
        </w:numPr>
        <w:jc w:val="both"/>
        <w:rPr>
          <w:rFonts w:ascii="Century Gothic" w:hAnsi="Century Gothic"/>
          <w:u w:val="single"/>
          <w:lang w:val="fr-BE"/>
        </w:rPr>
      </w:pPr>
      <w:r w:rsidRPr="002846BC">
        <w:rPr>
          <w:rFonts w:ascii="Century Gothic" w:hAnsi="Century Gothic"/>
          <w:lang w:val="fr-BE"/>
        </w:rPr>
        <w:t>Règlement n</w:t>
      </w:r>
      <w:r w:rsidRPr="002846BC">
        <w:rPr>
          <w:rFonts w:ascii="Century Gothic" w:hAnsi="Century Gothic"/>
          <w:vertAlign w:val="superscript"/>
          <w:lang w:val="fr-BE"/>
        </w:rPr>
        <w:t>o</w:t>
      </w:r>
      <w:r w:rsidRPr="002846BC">
        <w:rPr>
          <w:rFonts w:ascii="Century Gothic" w:hAnsi="Century Gothic"/>
          <w:lang w:val="fr-BE"/>
        </w:rPr>
        <w:t xml:space="preserve">1222/2009 du 25 novembre 2009 sur </w:t>
      </w:r>
      <w:r w:rsidRPr="002846BC">
        <w:rPr>
          <w:rFonts w:ascii="Century Gothic" w:hAnsi="Century Gothic"/>
          <w:u w:val="single"/>
          <w:lang w:val="fr-BE"/>
        </w:rPr>
        <w:t>l’étiquetage des pneumatiques en relation avec l’efficacité en carburant et d’autres paramètres essentiels ;</w:t>
      </w:r>
    </w:p>
    <w:p w:rsidR="00372EEB" w:rsidRPr="002846BC" w:rsidRDefault="00D8012C">
      <w:pPr>
        <w:pStyle w:val="Paragraphedeliste"/>
        <w:numPr>
          <w:ilvl w:val="0"/>
          <w:numId w:val="4"/>
        </w:numPr>
        <w:jc w:val="both"/>
        <w:rPr>
          <w:rFonts w:ascii="Century Gothic" w:eastAsia="Times New Roman" w:hAnsi="Century Gothic" w:cs="Times New Roman"/>
          <w:lang w:val="fr-BE" w:eastAsia="fr-BE"/>
        </w:rPr>
      </w:pPr>
      <w:r w:rsidRPr="002846BC">
        <w:rPr>
          <w:rFonts w:ascii="Century Gothic" w:hAnsi="Century Gothic"/>
          <w:lang w:val="fr-BE"/>
        </w:rPr>
        <w:t>Communication COM(2010)186 de la Commission du 28 avril 2010 intitulée «</w:t>
      </w:r>
      <w:r w:rsidRPr="002846BC">
        <w:rPr>
          <w:rFonts w:ascii="Century Gothic" w:hAnsi="Century Gothic"/>
          <w:u w:val="single"/>
          <w:lang w:val="fr-BE"/>
        </w:rPr>
        <w:t>Une stratégie européenne pour des véhicules propres et économes en énergie»</w:t>
      </w:r>
      <w:r w:rsidRPr="002846BC">
        <w:rPr>
          <w:rFonts w:ascii="Century Gothic" w:hAnsi="Century Gothic"/>
          <w:lang w:val="fr-BE"/>
        </w:rPr>
        <w:t> ;</w:t>
      </w:r>
      <w:r w:rsidRPr="002846BC">
        <w:rPr>
          <w:rFonts w:ascii="Century Gothic" w:eastAsia="Times New Roman" w:hAnsi="Century Gothic" w:cs="Times New Roman"/>
          <w:lang w:val="fr-BE" w:eastAsia="fr-BE"/>
        </w:rPr>
        <w:t xml:space="preserve"> </w:t>
      </w:r>
    </w:p>
    <w:p w:rsidR="00372EEB" w:rsidRPr="002846BC" w:rsidRDefault="00D8012C">
      <w:pPr>
        <w:pStyle w:val="Paragraphedeliste"/>
        <w:numPr>
          <w:ilvl w:val="0"/>
          <w:numId w:val="4"/>
        </w:numPr>
        <w:jc w:val="both"/>
        <w:rPr>
          <w:rFonts w:ascii="Century Gothic" w:hAnsi="Century Gothic"/>
          <w:lang w:val="fr-BE"/>
        </w:rPr>
      </w:pPr>
      <w:r w:rsidRPr="002846BC">
        <w:rPr>
          <w:rFonts w:ascii="Century Gothic" w:hAnsi="Century Gothic"/>
          <w:lang w:val="fr-BE"/>
        </w:rPr>
        <w:t xml:space="preserve">Directive 1999/94/CE du Parlement européen et du Conseil, du 13 décembre 1999, concernant la </w:t>
      </w:r>
      <w:r w:rsidRPr="002846BC">
        <w:rPr>
          <w:rFonts w:ascii="Century Gothic" w:hAnsi="Century Gothic"/>
          <w:u w:val="single"/>
          <w:lang w:val="fr-BE"/>
        </w:rPr>
        <w:t>disponibilité d'informations sur la consommation de carburant et les émissions de CO2 à l'intention des consommateurs lors de la commercialisation des voitures particulières neuves</w:t>
      </w:r>
      <w:r w:rsidRPr="002846BC">
        <w:rPr>
          <w:rFonts w:ascii="Century Gothic" w:hAnsi="Century Gothic"/>
          <w:lang w:val="fr-BE"/>
        </w:rPr>
        <w:t> ;</w:t>
      </w:r>
    </w:p>
    <w:p w:rsidR="00F93A68" w:rsidRPr="002846BC" w:rsidRDefault="00D8012C" w:rsidP="00F93A68">
      <w:pPr>
        <w:pStyle w:val="Paragraphedeliste"/>
        <w:numPr>
          <w:ilvl w:val="0"/>
          <w:numId w:val="4"/>
        </w:numPr>
        <w:jc w:val="both"/>
        <w:rPr>
          <w:rFonts w:ascii="Century Gothic" w:hAnsi="Century Gothic"/>
          <w:u w:val="single"/>
          <w:lang w:val="fr-BE"/>
        </w:rPr>
      </w:pPr>
      <w:r w:rsidRPr="002846BC">
        <w:rPr>
          <w:rFonts w:ascii="Century Gothic" w:hAnsi="Century Gothic"/>
          <w:lang w:val="fr-BE"/>
        </w:rPr>
        <w:t xml:space="preserve">Directive 2009/33/CE du Parlement européen et du Conseil du 23 avril 2009 relative à </w:t>
      </w:r>
      <w:r w:rsidRPr="002846BC">
        <w:rPr>
          <w:rFonts w:ascii="Century Gothic" w:hAnsi="Century Gothic"/>
          <w:u w:val="single"/>
          <w:lang w:val="fr-BE"/>
        </w:rPr>
        <w:t>la promotion de véhicules de transport routier propres et économes en énergie ;</w:t>
      </w:r>
    </w:p>
    <w:p w:rsidR="00F93A68" w:rsidRDefault="00D8012C" w:rsidP="00F93A68">
      <w:pPr>
        <w:pStyle w:val="Paragraphedeliste"/>
        <w:numPr>
          <w:ilvl w:val="0"/>
          <w:numId w:val="4"/>
        </w:numPr>
        <w:jc w:val="both"/>
        <w:rPr>
          <w:rFonts w:ascii="Century Gothic" w:hAnsi="Century Gothic"/>
          <w:lang w:val="fr-BE"/>
        </w:rPr>
      </w:pPr>
      <w:r w:rsidRPr="002846BC">
        <w:rPr>
          <w:rFonts w:ascii="Century Gothic" w:hAnsi="Century Gothic"/>
          <w:lang w:val="fr-BE"/>
        </w:rPr>
        <w:t xml:space="preserve">Règlement 510/2011 du 11 mai 2011 établissant des normes de performance en matière d'émissions pour les véhicules utilitaires légers neufs dans le cadre de </w:t>
      </w:r>
      <w:r w:rsidRPr="002846BC">
        <w:rPr>
          <w:rFonts w:ascii="Century Gothic" w:hAnsi="Century Gothic"/>
          <w:u w:val="single"/>
          <w:lang w:val="fr-BE"/>
        </w:rPr>
        <w:t>l'approche intégrée de l'Union visant à réduire les émissions de CO</w:t>
      </w:r>
      <w:r w:rsidRPr="002846BC">
        <w:rPr>
          <w:rFonts w:ascii="Century Gothic" w:hAnsi="Century Gothic"/>
          <w:u w:val="single"/>
          <w:vertAlign w:val="subscript"/>
          <w:lang w:val="fr-BE"/>
        </w:rPr>
        <w:t>2</w:t>
      </w:r>
      <w:r w:rsidRPr="002846BC">
        <w:rPr>
          <w:rFonts w:ascii="Century Gothic" w:hAnsi="Century Gothic"/>
          <w:u w:val="single"/>
          <w:lang w:val="fr-BE"/>
        </w:rPr>
        <w:t xml:space="preserve"> des véhicules légers</w:t>
      </w:r>
      <w:r w:rsidRPr="002846BC">
        <w:rPr>
          <w:rFonts w:ascii="Century Gothic" w:hAnsi="Century Gothic"/>
          <w:lang w:val="fr-BE"/>
        </w:rPr>
        <w:t> ;</w:t>
      </w:r>
    </w:p>
    <w:p w:rsidR="00425550" w:rsidRPr="0034006E" w:rsidRDefault="00425550" w:rsidP="00F93A68">
      <w:pPr>
        <w:pStyle w:val="Paragraphedeliste"/>
        <w:numPr>
          <w:ilvl w:val="0"/>
          <w:numId w:val="4"/>
        </w:numPr>
        <w:jc w:val="both"/>
        <w:rPr>
          <w:rFonts w:ascii="Century Gothic" w:hAnsi="Century Gothic"/>
          <w:lang w:val="fr-BE"/>
        </w:rPr>
      </w:pPr>
      <w:r>
        <w:rPr>
          <w:rFonts w:ascii="Century Gothic" w:hAnsi="Century Gothic"/>
          <w:lang w:val="fr-BE"/>
        </w:rPr>
        <w:t xml:space="preserve">Directive 2009/28/CE </w:t>
      </w:r>
      <w:r w:rsidRPr="00654542">
        <w:rPr>
          <w:rFonts w:ascii="Century Gothic" w:hAnsi="Century Gothic"/>
          <w:bCs/>
          <w:lang w:val="fr-BE"/>
        </w:rPr>
        <w:t>du Parlement européen et du Conseil</w:t>
      </w:r>
      <w:r>
        <w:rPr>
          <w:rFonts w:ascii="Century Gothic" w:hAnsi="Century Gothic"/>
          <w:bCs/>
          <w:lang w:val="fr-BE"/>
        </w:rPr>
        <w:t xml:space="preserve"> du 23 avril 2009 </w:t>
      </w:r>
      <w:r w:rsidRPr="00425550">
        <w:rPr>
          <w:rFonts w:ascii="Century Gothic" w:hAnsi="Century Gothic"/>
          <w:lang w:val="fr-FR"/>
        </w:rPr>
        <w:t>relative à la promotion de l’utilisation de l’énergie produite à partir de sources renouvelables et modifiant puis abrogeant les directives 2001/77/CE et 2003/30/CE</w:t>
      </w:r>
      <w:r w:rsidR="00F20228">
        <w:rPr>
          <w:rFonts w:ascii="Century Gothic" w:hAnsi="Century Gothic"/>
          <w:lang w:val="fr-FR"/>
        </w:rPr>
        <w:t> ;</w:t>
      </w:r>
    </w:p>
    <w:p w:rsidR="0034006E" w:rsidRDefault="0034006E" w:rsidP="00F93A68">
      <w:pPr>
        <w:pStyle w:val="Paragraphedeliste"/>
        <w:numPr>
          <w:ilvl w:val="0"/>
          <w:numId w:val="4"/>
        </w:numPr>
        <w:jc w:val="both"/>
        <w:rPr>
          <w:rFonts w:ascii="Century Gothic" w:hAnsi="Century Gothic"/>
          <w:lang w:val="fr-BE"/>
        </w:rPr>
      </w:pPr>
      <w:r>
        <w:rPr>
          <w:rFonts w:ascii="Century Gothic" w:hAnsi="Century Gothic"/>
          <w:lang w:val="fr-FR"/>
        </w:rPr>
        <w:t xml:space="preserve">Directive 2015/1513/CE </w:t>
      </w:r>
      <w:r w:rsidRPr="00654542">
        <w:rPr>
          <w:rFonts w:ascii="Century Gothic" w:hAnsi="Century Gothic"/>
          <w:bCs/>
          <w:lang w:val="fr-BE"/>
        </w:rPr>
        <w:t>du Parlement européen et du Conseil</w:t>
      </w:r>
      <w:r>
        <w:rPr>
          <w:rFonts w:ascii="Century Gothic" w:hAnsi="Century Gothic"/>
          <w:bCs/>
          <w:lang w:val="fr-BE"/>
        </w:rPr>
        <w:t xml:space="preserve"> du 9 septembre2015 modifiant la directive 98/70/CE concernant la qualité de l’essence et des carburants diesel et modifiant la directive 2009/28/CE relative à la promotion de l’énergie produite à partir de sources renouvelables</w:t>
      </w:r>
      <w:r w:rsidR="00963F0D">
        <w:rPr>
          <w:rFonts w:ascii="Century Gothic" w:hAnsi="Century Gothic"/>
          <w:bCs/>
          <w:lang w:val="fr-BE"/>
        </w:rPr>
        <w:t>.</w:t>
      </w:r>
    </w:p>
    <w:p w:rsidR="00654542" w:rsidRPr="00654542" w:rsidRDefault="00654542" w:rsidP="00F93A68">
      <w:pPr>
        <w:pStyle w:val="Paragraphedeliste"/>
        <w:numPr>
          <w:ilvl w:val="0"/>
          <w:numId w:val="4"/>
        </w:numPr>
        <w:jc w:val="both"/>
        <w:rPr>
          <w:rFonts w:ascii="Century Gothic" w:hAnsi="Century Gothic"/>
          <w:lang w:val="fr-BE"/>
        </w:rPr>
      </w:pPr>
      <w:r w:rsidRPr="00654542">
        <w:rPr>
          <w:rFonts w:ascii="Century Gothic" w:hAnsi="Century Gothic"/>
          <w:bCs/>
          <w:lang w:val="fr-BE"/>
        </w:rPr>
        <w:t xml:space="preserve">Directive 2014/94/UE du Parlement européen et du Conseil du 22 octobre 2014 sur </w:t>
      </w:r>
      <w:r w:rsidRPr="00654542">
        <w:rPr>
          <w:rFonts w:ascii="Century Gothic" w:hAnsi="Century Gothic"/>
          <w:bCs/>
          <w:u w:val="single"/>
          <w:lang w:val="fr-BE"/>
        </w:rPr>
        <w:t>le déploiement d'une infrastructure pour carburants alternatifs</w:t>
      </w:r>
      <w:r>
        <w:rPr>
          <w:rFonts w:ascii="Century Gothic" w:hAnsi="Century Gothic"/>
          <w:bCs/>
          <w:u w:val="single"/>
          <w:lang w:val="fr-BE"/>
        </w:rPr>
        <w:t>.</w:t>
      </w:r>
    </w:p>
    <w:p w:rsidR="000B49D0" w:rsidRPr="00654542" w:rsidRDefault="000B49D0" w:rsidP="000B49D0">
      <w:pPr>
        <w:pStyle w:val="Paragraphedeliste"/>
        <w:jc w:val="both"/>
        <w:rPr>
          <w:rStyle w:val="textearticle"/>
          <w:rFonts w:ascii="Century Gothic" w:hAnsi="Century Gothic"/>
          <w:lang w:val="fr-BE"/>
        </w:rPr>
      </w:pPr>
    </w:p>
    <w:p w:rsidR="00372EEB" w:rsidRPr="002846BC" w:rsidRDefault="00E75C61" w:rsidP="002846BC">
      <w:pPr>
        <w:jc w:val="both"/>
        <w:rPr>
          <w:rFonts w:ascii="Century Gothic" w:hAnsi="Century Gothic"/>
          <w:b/>
          <w:i/>
          <w:u w:val="single"/>
        </w:rPr>
      </w:pPr>
      <w:r w:rsidRPr="002846BC">
        <w:rPr>
          <w:rFonts w:ascii="Century Gothic" w:hAnsi="Century Gothic"/>
          <w:b/>
          <w:i/>
          <w:u w:val="single"/>
        </w:rPr>
        <w:lastRenderedPageBreak/>
        <w:t xml:space="preserve">Au niveau </w:t>
      </w:r>
      <w:r w:rsidR="002846BC">
        <w:rPr>
          <w:rFonts w:ascii="Century Gothic" w:hAnsi="Century Gothic"/>
          <w:b/>
          <w:i/>
          <w:u w:val="single"/>
        </w:rPr>
        <w:t>fédé</w:t>
      </w:r>
      <w:r w:rsidR="00F93A68" w:rsidRPr="002846BC">
        <w:rPr>
          <w:rFonts w:ascii="Century Gothic" w:hAnsi="Century Gothic"/>
          <w:b/>
          <w:i/>
          <w:u w:val="single"/>
        </w:rPr>
        <w:t>ral</w:t>
      </w:r>
    </w:p>
    <w:p w:rsidR="00372EEB" w:rsidRPr="002846BC" w:rsidRDefault="00372EEB">
      <w:pPr>
        <w:pStyle w:val="Paragraphedeliste"/>
        <w:rPr>
          <w:rStyle w:val="textearticle"/>
          <w:rFonts w:ascii="Century Gothic" w:hAnsi="Century Gothic"/>
        </w:rPr>
      </w:pPr>
    </w:p>
    <w:p w:rsidR="00372EEB" w:rsidRPr="002846BC" w:rsidRDefault="00D8012C" w:rsidP="002846BC">
      <w:pPr>
        <w:pStyle w:val="Paragraphedeliste"/>
        <w:numPr>
          <w:ilvl w:val="0"/>
          <w:numId w:val="20"/>
        </w:numPr>
        <w:jc w:val="both"/>
        <w:rPr>
          <w:rStyle w:val="textearticle"/>
          <w:rFonts w:ascii="Century Gothic" w:hAnsi="Century Gothic"/>
          <w:lang w:val="fr-BE"/>
        </w:rPr>
      </w:pPr>
      <w:r w:rsidRPr="002846BC">
        <w:rPr>
          <w:rStyle w:val="textearticle"/>
          <w:rFonts w:ascii="Century Gothic" w:hAnsi="Century Gothic"/>
          <w:lang w:val="fr-BE"/>
        </w:rPr>
        <w:t xml:space="preserve">Arrêté royal du 5 septembre 2001 transposant la directive européenne 1999/94 CE </w:t>
      </w:r>
      <w:r w:rsidRPr="002846BC">
        <w:rPr>
          <w:rStyle w:val="textearticle"/>
          <w:rFonts w:ascii="Century Gothic" w:hAnsi="Century Gothic"/>
          <w:iCs/>
          <w:lang w:val="fr-BE"/>
        </w:rPr>
        <w:t>relatif à la disponibilité d’informations sur la consommation de carburant et les émissions de CO2 à l’intention des consommateurs lors de la commercialisation des voitures particulières neuves ;</w:t>
      </w:r>
    </w:p>
    <w:p w:rsidR="002846BC" w:rsidRDefault="002846BC" w:rsidP="002846BC">
      <w:pPr>
        <w:jc w:val="both"/>
        <w:rPr>
          <w:rFonts w:ascii="Century Gothic" w:hAnsi="Century Gothic"/>
          <w:b/>
          <w:i/>
          <w:u w:val="single"/>
        </w:rPr>
      </w:pPr>
    </w:p>
    <w:p w:rsidR="002846BC" w:rsidRDefault="002846BC" w:rsidP="002846BC">
      <w:pPr>
        <w:jc w:val="both"/>
        <w:rPr>
          <w:rFonts w:ascii="Century Gothic" w:hAnsi="Century Gothic"/>
          <w:b/>
          <w:i/>
          <w:u w:val="single"/>
        </w:rPr>
      </w:pPr>
    </w:p>
    <w:p w:rsidR="002846BC" w:rsidRPr="002846BC" w:rsidRDefault="002846BC" w:rsidP="002846BC">
      <w:pPr>
        <w:jc w:val="both"/>
        <w:rPr>
          <w:rFonts w:ascii="Century Gothic" w:hAnsi="Century Gothic"/>
          <w:b/>
          <w:i/>
          <w:u w:val="single"/>
        </w:rPr>
      </w:pPr>
      <w:r w:rsidRPr="002846BC">
        <w:rPr>
          <w:rFonts w:ascii="Century Gothic" w:hAnsi="Century Gothic"/>
          <w:b/>
          <w:i/>
          <w:u w:val="single"/>
        </w:rPr>
        <w:t>Au niveau régional</w:t>
      </w:r>
    </w:p>
    <w:p w:rsidR="00372EEB" w:rsidRPr="002846BC" w:rsidRDefault="00D8012C" w:rsidP="002846BC">
      <w:pPr>
        <w:pStyle w:val="Paragraphedeliste"/>
        <w:numPr>
          <w:ilvl w:val="0"/>
          <w:numId w:val="20"/>
        </w:numPr>
        <w:jc w:val="both"/>
        <w:rPr>
          <w:rFonts w:ascii="Century Gothic" w:hAnsi="Century Gothic"/>
          <w:lang w:val="fr-BE"/>
        </w:rPr>
      </w:pPr>
      <w:r w:rsidRPr="002846BC">
        <w:rPr>
          <w:rStyle w:val="act-nat"/>
          <w:rFonts w:ascii="Century Gothic" w:hAnsi="Century Gothic"/>
          <w:lang w:val="fr-BE"/>
        </w:rPr>
        <w:t>Arrêté du Gouvernement wallon du 14 juillet 2011</w:t>
      </w:r>
      <w:r w:rsidRPr="002846BC">
        <w:rPr>
          <w:rFonts w:ascii="Century Gothic" w:hAnsi="Century Gothic"/>
          <w:lang w:val="fr-BE"/>
        </w:rPr>
        <w:t xml:space="preserve"> transposant la Directive 2009/33/CE du Parlement européen et du Conseil du 23 avril 2009 relative à la promotion de véhicules de transport routier propres et économes en énergie ;</w:t>
      </w:r>
    </w:p>
    <w:p w:rsidR="00372EEB" w:rsidRPr="005E6308" w:rsidRDefault="00D8012C" w:rsidP="002846BC">
      <w:pPr>
        <w:pStyle w:val="Paragraphedeliste"/>
        <w:numPr>
          <w:ilvl w:val="0"/>
          <w:numId w:val="20"/>
        </w:numPr>
        <w:jc w:val="both"/>
        <w:rPr>
          <w:rFonts w:ascii="Century Gothic" w:hAnsi="Century Gothic"/>
          <w:lang w:val="fr-BE"/>
        </w:rPr>
      </w:pPr>
      <w:r w:rsidRPr="002846BC">
        <w:rPr>
          <w:rStyle w:val="act-nat"/>
          <w:rFonts w:ascii="Century Gothic" w:hAnsi="Century Gothic"/>
          <w:lang w:val="fr-BE"/>
        </w:rPr>
        <w:t>Décret</w:t>
      </w:r>
      <w:r w:rsidRPr="005E6308">
        <w:rPr>
          <w:rFonts w:ascii="Century Gothic" w:hAnsi="Century Gothic"/>
          <w:lang w:val="fr-BE"/>
        </w:rPr>
        <w:t xml:space="preserve">  du 5 mars 2008 portant création d’un éco-malus sur les émissions de CO2 par les véhicules automobiles des personnes physiques dans le Code des taxes assimilées aux impôts sur les revenus.</w:t>
      </w:r>
    </w:p>
    <w:p w:rsidR="002846BC" w:rsidRPr="005E6308" w:rsidRDefault="002846BC" w:rsidP="002846BC">
      <w:pPr>
        <w:pStyle w:val="Paragraphedeliste"/>
        <w:jc w:val="both"/>
        <w:rPr>
          <w:rFonts w:ascii="Century Gothic" w:hAnsi="Century Gothic"/>
          <w:lang w:val="fr-BE"/>
        </w:rPr>
      </w:pPr>
    </w:p>
    <w:p w:rsidR="002846BC" w:rsidRPr="005E6308" w:rsidRDefault="002846BC" w:rsidP="002846BC">
      <w:pPr>
        <w:pStyle w:val="Paragraphedeliste"/>
        <w:jc w:val="both"/>
        <w:rPr>
          <w:rFonts w:ascii="Century Gothic" w:hAnsi="Century Gothic"/>
          <w:lang w:val="fr-BE"/>
        </w:rPr>
      </w:pPr>
    </w:p>
    <w:p w:rsidR="008D4D77" w:rsidRPr="002846BC" w:rsidRDefault="002846BC" w:rsidP="002846BC">
      <w:pPr>
        <w:pBdr>
          <w:top w:val="single" w:sz="4" w:space="1" w:color="auto"/>
          <w:left w:val="single" w:sz="4" w:space="4" w:color="auto"/>
          <w:bottom w:val="single" w:sz="4" w:space="1" w:color="auto"/>
          <w:right w:val="single" w:sz="4" w:space="4" w:color="auto"/>
        </w:pBdr>
        <w:jc w:val="both"/>
        <w:rPr>
          <w:rFonts w:ascii="Century Gothic" w:hAnsi="Century Gothic"/>
          <w:b/>
          <w:color w:val="1F497D" w:themeColor="text2"/>
        </w:rPr>
      </w:pPr>
      <w:r>
        <w:rPr>
          <w:rFonts w:ascii="Century Gothic" w:hAnsi="Century Gothic"/>
          <w:b/>
          <w:color w:val="1F497D" w:themeColor="text2"/>
        </w:rPr>
        <w:t>Mesures d</w:t>
      </w:r>
      <w:r w:rsidR="00A45C91" w:rsidRPr="002846BC">
        <w:rPr>
          <w:rFonts w:ascii="Century Gothic" w:hAnsi="Century Gothic"/>
          <w:b/>
          <w:color w:val="1F497D" w:themeColor="text2"/>
        </w:rPr>
        <w:t xml:space="preserve">e type </w:t>
      </w:r>
      <w:r w:rsidR="005B4111" w:rsidRPr="002846BC">
        <w:rPr>
          <w:rFonts w:ascii="Century Gothic" w:hAnsi="Century Gothic"/>
          <w:b/>
          <w:color w:val="1F497D" w:themeColor="text2"/>
        </w:rPr>
        <w:t>incitatif ou d’accompagnement</w:t>
      </w:r>
    </w:p>
    <w:p w:rsidR="00372EEB" w:rsidRPr="002846BC" w:rsidRDefault="00D8012C" w:rsidP="002846BC">
      <w:pPr>
        <w:pStyle w:val="Paragraphedeliste"/>
        <w:numPr>
          <w:ilvl w:val="0"/>
          <w:numId w:val="22"/>
        </w:numPr>
        <w:jc w:val="both"/>
        <w:rPr>
          <w:rFonts w:ascii="Century Gothic" w:hAnsi="Century Gothic"/>
          <w:lang w:val="fr-BE"/>
        </w:rPr>
      </w:pPr>
      <w:r w:rsidRPr="002846BC">
        <w:rPr>
          <w:rFonts w:ascii="Century Gothic" w:hAnsi="Century Gothic"/>
          <w:b/>
          <w:lang w:val="fr-BE"/>
        </w:rPr>
        <w:t>L’éco-malus</w:t>
      </w:r>
      <w:r w:rsidRPr="002846BC">
        <w:rPr>
          <w:rFonts w:ascii="Century Gothic" w:hAnsi="Century Gothic"/>
          <w:lang w:val="fr-BE"/>
        </w:rPr>
        <w:t xml:space="preserve"> est, à ce jour, la seule mesure répondant des normes d’émissions des véhicules automoteurs pour les particuliers en Wallonie. </w:t>
      </w:r>
      <w:r w:rsidR="00763776" w:rsidRPr="002846BC">
        <w:rPr>
          <w:rFonts w:ascii="Century Gothic" w:hAnsi="Century Gothic"/>
          <w:lang w:val="fr-BE"/>
        </w:rPr>
        <w:t>Celui-ci est directement intégré dans la taxe de mise en circulation et est d’application dès que le modèle de véhicule dépasse les 146 gr de CO</w:t>
      </w:r>
      <w:r w:rsidRPr="002846BC">
        <w:rPr>
          <w:rFonts w:ascii="Century Gothic" w:hAnsi="Century Gothic"/>
          <w:vertAlign w:val="subscript"/>
          <w:lang w:val="fr-BE"/>
        </w:rPr>
        <w:t>²</w:t>
      </w:r>
      <w:r w:rsidR="00763776" w:rsidRPr="002846BC">
        <w:rPr>
          <w:rFonts w:ascii="Century Gothic" w:hAnsi="Century Gothic"/>
          <w:lang w:val="fr-BE"/>
        </w:rPr>
        <w:t xml:space="preserve"> aux 100km et s’amplifie en fonction des émissions</w:t>
      </w:r>
      <w:r w:rsidRPr="002846BC">
        <w:rPr>
          <w:rFonts w:ascii="Century Gothic" w:hAnsi="Century Gothic"/>
          <w:lang w:val="fr-BE"/>
        </w:rPr>
        <w:t xml:space="preserve">. </w:t>
      </w:r>
    </w:p>
    <w:p w:rsidR="00763776" w:rsidRDefault="00763776" w:rsidP="00763776">
      <w:pPr>
        <w:jc w:val="center"/>
        <w:rPr>
          <w:rFonts w:ascii="Century Gothic" w:hAnsi="Century Gothic"/>
        </w:rPr>
      </w:pPr>
      <w:r w:rsidRPr="002846BC">
        <w:rPr>
          <w:rFonts w:ascii="Century Gothic" w:hAnsi="Century Gothic"/>
          <w:noProof/>
          <w:lang w:eastAsia="fr-BE"/>
        </w:rPr>
        <w:drawing>
          <wp:inline distT="0" distB="0" distL="0" distR="0">
            <wp:extent cx="5469434" cy="4667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19008" t="62941" r="19008" b="27647"/>
                    <a:stretch>
                      <a:fillRect/>
                    </a:stretch>
                  </pic:blipFill>
                  <pic:spPr bwMode="auto">
                    <a:xfrm>
                      <a:off x="0" y="0"/>
                      <a:ext cx="5469434" cy="466725"/>
                    </a:xfrm>
                    <a:prstGeom prst="rect">
                      <a:avLst/>
                    </a:prstGeom>
                    <a:noFill/>
                    <a:ln w="9525">
                      <a:noFill/>
                      <a:miter lim="800000"/>
                      <a:headEnd/>
                      <a:tailEnd/>
                    </a:ln>
                  </pic:spPr>
                </pic:pic>
              </a:graphicData>
            </a:graphic>
          </wp:inline>
        </w:drawing>
      </w:r>
    </w:p>
    <w:p w:rsidR="000F4E61" w:rsidRDefault="000F4E61">
      <w:pPr>
        <w:rPr>
          <w:rFonts w:ascii="Century Gothic" w:hAnsi="Century Gothic"/>
        </w:rPr>
      </w:pPr>
      <w:r>
        <w:rPr>
          <w:rFonts w:ascii="Century Gothic" w:hAnsi="Century Gothic"/>
        </w:rPr>
        <w:br w:type="page"/>
      </w:r>
    </w:p>
    <w:p w:rsidR="000F4E61" w:rsidRPr="002846BC" w:rsidRDefault="000F4E61" w:rsidP="00763776">
      <w:pPr>
        <w:jc w:val="center"/>
        <w:rPr>
          <w:rFonts w:ascii="Century Gothic" w:hAnsi="Century Gothic"/>
        </w:rPr>
      </w:pPr>
    </w:p>
    <w:p w:rsidR="00AD0E7A" w:rsidRDefault="00017FB5" w:rsidP="00654542">
      <w:pPr>
        <w:pStyle w:val="Paragraphedeliste"/>
        <w:numPr>
          <w:ilvl w:val="0"/>
          <w:numId w:val="22"/>
        </w:numPr>
        <w:rPr>
          <w:rFonts w:ascii="Century Gothic" w:hAnsi="Century Gothic"/>
          <w:lang w:val="fr-BE"/>
        </w:rPr>
      </w:pPr>
      <w:r w:rsidRPr="00017FB5">
        <w:rPr>
          <w:rFonts w:ascii="Century Gothic" w:hAnsi="Century Gothic"/>
          <w:noProof/>
          <w:lang w:eastAsia="fr-BE"/>
        </w:rPr>
        <w:pict>
          <v:shape id="_x0000_s1031" type="#_x0000_t202" style="position:absolute;left:0;text-align:left;margin-left:55.15pt;margin-top:30.15pt;width:383.25pt;height:297.75pt;z-index:251663360">
            <v:textbox>
              <w:txbxContent>
                <w:p w:rsidR="00425550" w:rsidRPr="00654542" w:rsidRDefault="00425550" w:rsidP="00654542">
                  <w:pPr>
                    <w:pStyle w:val="NormalWeb"/>
                    <w:jc w:val="center"/>
                    <w:rPr>
                      <w:rFonts w:asciiTheme="minorHAnsi" w:hAnsiTheme="minorHAnsi"/>
                      <w:i/>
                      <w:sz w:val="22"/>
                      <w:szCs w:val="22"/>
                    </w:rPr>
                  </w:pPr>
                  <w:r w:rsidRPr="00654542">
                    <w:rPr>
                      <w:rStyle w:val="lev"/>
                      <w:rFonts w:asciiTheme="minorHAnsi" w:hAnsiTheme="minorHAnsi"/>
                      <w:b w:val="0"/>
                      <w:i/>
                      <w:sz w:val="22"/>
                      <w:szCs w:val="22"/>
                    </w:rPr>
                    <w:t>Valeur catalogue du véhicule x taux amortissement x 6/7 x  taux  émission CO</w:t>
                  </w:r>
                  <w:r w:rsidRPr="00654542">
                    <w:rPr>
                      <w:rStyle w:val="lev"/>
                      <w:rFonts w:asciiTheme="minorHAnsi" w:hAnsiTheme="minorHAnsi"/>
                      <w:b w:val="0"/>
                      <w:i/>
                      <w:sz w:val="22"/>
                      <w:szCs w:val="22"/>
                      <w:vertAlign w:val="subscript"/>
                    </w:rPr>
                    <w:t>2</w:t>
                  </w:r>
                </w:p>
                <w:p w:rsidR="00425550" w:rsidRPr="00654542" w:rsidRDefault="00425550" w:rsidP="00654542">
                  <w:pPr>
                    <w:spacing w:before="100" w:beforeAutospacing="1" w:after="100" w:afterAutospacing="1" w:line="240" w:lineRule="auto"/>
                    <w:ind w:left="708"/>
                    <w:jc w:val="both"/>
                    <w:rPr>
                      <w:rFonts w:eastAsia="Times New Roman" w:cs="Times New Roman"/>
                      <w:lang w:eastAsia="fr-BE"/>
                    </w:rPr>
                  </w:pPr>
                  <w:r w:rsidRPr="00654542">
                    <w:rPr>
                      <w:rFonts w:eastAsia="Times New Roman" w:cs="Times New Roman"/>
                      <w:lang w:eastAsia="fr-BE"/>
                    </w:rPr>
                    <w:t>Le pourcentage de base du CO</w:t>
                  </w:r>
                  <w:r w:rsidRPr="00654542">
                    <w:rPr>
                      <w:rFonts w:eastAsia="Times New Roman" w:cs="Times New Roman"/>
                      <w:vertAlign w:val="subscript"/>
                      <w:lang w:eastAsia="fr-BE"/>
                    </w:rPr>
                    <w:t>2</w:t>
                  </w:r>
                  <w:r w:rsidRPr="00654542">
                    <w:rPr>
                      <w:rFonts w:eastAsia="Times New Roman" w:cs="Times New Roman"/>
                      <w:lang w:eastAsia="fr-BE"/>
                    </w:rPr>
                    <w:t xml:space="preserve"> s’élève à </w:t>
                  </w:r>
                  <w:r w:rsidRPr="00654542">
                    <w:rPr>
                      <w:rFonts w:eastAsia="Times New Roman" w:cs="Times New Roman"/>
                      <w:b/>
                      <w:bCs/>
                      <w:lang w:eastAsia="fr-BE"/>
                    </w:rPr>
                    <w:t>5,5 %</w:t>
                  </w:r>
                  <w:r w:rsidRPr="00654542">
                    <w:rPr>
                      <w:rFonts w:eastAsia="Times New Roman" w:cs="Times New Roman"/>
                      <w:lang w:eastAsia="fr-BE"/>
                    </w:rPr>
                    <w:t xml:space="preserve"> pour :</w:t>
                  </w:r>
                </w:p>
                <w:p w:rsidR="00425550" w:rsidRPr="00654542" w:rsidRDefault="00425550" w:rsidP="00654542">
                  <w:pPr>
                    <w:numPr>
                      <w:ilvl w:val="0"/>
                      <w:numId w:val="8"/>
                    </w:numPr>
                    <w:tabs>
                      <w:tab w:val="clear" w:pos="720"/>
                      <w:tab w:val="num" w:pos="1428"/>
                    </w:tabs>
                    <w:spacing w:before="100" w:beforeAutospacing="1" w:after="100" w:afterAutospacing="1" w:line="240" w:lineRule="auto"/>
                    <w:ind w:left="1428"/>
                    <w:jc w:val="both"/>
                    <w:rPr>
                      <w:rFonts w:eastAsia="Times New Roman" w:cs="Times New Roman"/>
                      <w:lang w:eastAsia="fr-BE"/>
                    </w:rPr>
                  </w:pPr>
                  <w:r w:rsidRPr="00654542">
                    <w:rPr>
                      <w:rFonts w:eastAsia="Times New Roman" w:cs="Times New Roman"/>
                      <w:lang w:eastAsia="fr-BE"/>
                    </w:rPr>
                    <w:t>une émission de CO</w:t>
                  </w:r>
                  <w:r w:rsidRPr="00654542">
                    <w:rPr>
                      <w:rFonts w:eastAsia="Times New Roman" w:cs="Times New Roman"/>
                      <w:vertAlign w:val="subscript"/>
                      <w:lang w:eastAsia="fr-BE"/>
                    </w:rPr>
                    <w:t>2</w:t>
                  </w:r>
                  <w:r w:rsidRPr="00654542">
                    <w:rPr>
                      <w:rFonts w:eastAsia="Times New Roman" w:cs="Times New Roman"/>
                      <w:lang w:eastAsia="fr-BE"/>
                    </w:rPr>
                    <w:t xml:space="preserve"> de référence de </w:t>
                  </w:r>
                  <w:r w:rsidRPr="00654542">
                    <w:rPr>
                      <w:rFonts w:eastAsia="Times New Roman" w:cs="Times New Roman"/>
                      <w:b/>
                      <w:bCs/>
                      <w:lang w:eastAsia="fr-BE"/>
                    </w:rPr>
                    <w:t>110 g / km</w:t>
                  </w:r>
                  <w:r w:rsidRPr="00654542">
                    <w:rPr>
                      <w:rFonts w:eastAsia="Times New Roman" w:cs="Times New Roman"/>
                      <w:lang w:eastAsia="fr-BE"/>
                    </w:rPr>
                    <w:t xml:space="preserve"> (pour l’année civile 2015) ou </w:t>
                  </w:r>
                  <w:r w:rsidRPr="00654542">
                    <w:rPr>
                      <w:rFonts w:eastAsia="Times New Roman" w:cs="Times New Roman"/>
                      <w:b/>
                      <w:bCs/>
                      <w:lang w:eastAsia="fr-BE"/>
                    </w:rPr>
                    <w:t>107 g / km</w:t>
                  </w:r>
                  <w:r w:rsidRPr="00654542">
                    <w:rPr>
                      <w:rFonts w:eastAsia="Times New Roman" w:cs="Times New Roman"/>
                      <w:lang w:eastAsia="fr-BE"/>
                    </w:rPr>
                    <w:t xml:space="preserve"> (pour l’année civile 2016) pour les véhicules à essence, du GPL ou des moteurs au gaz naturel</w:t>
                  </w:r>
                </w:p>
                <w:p w:rsidR="00425550" w:rsidRPr="00654542" w:rsidRDefault="00425550" w:rsidP="00654542">
                  <w:pPr>
                    <w:numPr>
                      <w:ilvl w:val="0"/>
                      <w:numId w:val="8"/>
                    </w:numPr>
                    <w:tabs>
                      <w:tab w:val="clear" w:pos="720"/>
                      <w:tab w:val="num" w:pos="1428"/>
                    </w:tabs>
                    <w:spacing w:before="100" w:beforeAutospacing="1" w:after="100" w:afterAutospacing="1" w:line="240" w:lineRule="auto"/>
                    <w:ind w:left="1428"/>
                    <w:jc w:val="both"/>
                    <w:rPr>
                      <w:rFonts w:eastAsia="Times New Roman" w:cs="Times New Roman"/>
                      <w:lang w:eastAsia="fr-BE"/>
                    </w:rPr>
                  </w:pPr>
                  <w:r w:rsidRPr="00654542">
                    <w:rPr>
                      <w:rFonts w:eastAsia="Times New Roman" w:cs="Times New Roman"/>
                      <w:lang w:eastAsia="fr-BE"/>
                    </w:rPr>
                    <w:t>une émission de CO</w:t>
                  </w:r>
                  <w:r w:rsidRPr="00654542">
                    <w:rPr>
                      <w:rFonts w:eastAsia="Times New Roman" w:cs="Times New Roman"/>
                      <w:vertAlign w:val="subscript"/>
                      <w:lang w:eastAsia="fr-BE"/>
                    </w:rPr>
                    <w:t>2</w:t>
                  </w:r>
                  <w:r w:rsidRPr="00654542">
                    <w:rPr>
                      <w:rFonts w:eastAsia="Times New Roman" w:cs="Times New Roman"/>
                      <w:lang w:eastAsia="fr-BE"/>
                    </w:rPr>
                    <w:t xml:space="preserve"> de référence de </w:t>
                  </w:r>
                  <w:r w:rsidRPr="00654542">
                    <w:rPr>
                      <w:rFonts w:eastAsia="Times New Roman" w:cs="Times New Roman"/>
                      <w:b/>
                      <w:bCs/>
                      <w:lang w:eastAsia="fr-BE"/>
                    </w:rPr>
                    <w:t>91 g / km</w:t>
                  </w:r>
                  <w:r w:rsidRPr="00654542">
                    <w:rPr>
                      <w:rFonts w:eastAsia="Times New Roman" w:cs="Times New Roman"/>
                      <w:lang w:eastAsia="fr-BE"/>
                    </w:rPr>
                    <w:t xml:space="preserve"> (pour l’année civile 2015) ou </w:t>
                  </w:r>
                  <w:r w:rsidRPr="00654542">
                    <w:rPr>
                      <w:rFonts w:eastAsia="Times New Roman" w:cs="Times New Roman"/>
                      <w:b/>
                      <w:bCs/>
                      <w:lang w:eastAsia="fr-BE"/>
                    </w:rPr>
                    <w:t>89 g / km</w:t>
                  </w:r>
                  <w:r w:rsidRPr="00654542">
                    <w:rPr>
                      <w:rFonts w:eastAsia="Times New Roman" w:cs="Times New Roman"/>
                      <w:lang w:eastAsia="fr-BE"/>
                    </w:rPr>
                    <w:t xml:space="preserve"> (pour l’année civile 2016) pour les véhicules équipés d'un moteur diesel.</w:t>
                  </w:r>
                </w:p>
                <w:p w:rsidR="00425550" w:rsidRPr="00654542" w:rsidRDefault="00425550" w:rsidP="00654542">
                  <w:pPr>
                    <w:spacing w:before="100" w:beforeAutospacing="1" w:after="100" w:afterAutospacing="1" w:line="240" w:lineRule="auto"/>
                    <w:ind w:left="708"/>
                    <w:jc w:val="both"/>
                    <w:rPr>
                      <w:rFonts w:eastAsia="Times New Roman" w:cs="Times New Roman"/>
                      <w:lang w:eastAsia="fr-BE"/>
                    </w:rPr>
                  </w:pPr>
                  <w:r w:rsidRPr="00654542">
                    <w:rPr>
                      <w:rFonts w:eastAsia="Times New Roman" w:cs="Times New Roman"/>
                      <w:lang w:eastAsia="fr-BE"/>
                    </w:rPr>
                    <w:t>Lorsque les émissions du véhicule dépassent les émissions de référence, le taux de base de 0,1 % par gamme de CO</w:t>
                  </w:r>
                  <w:r w:rsidRPr="00654542">
                    <w:rPr>
                      <w:rFonts w:eastAsia="Times New Roman" w:cs="Times New Roman"/>
                      <w:vertAlign w:val="subscript"/>
                      <w:lang w:eastAsia="fr-BE"/>
                    </w:rPr>
                    <w:t>2</w:t>
                  </w:r>
                  <w:r w:rsidRPr="00654542">
                    <w:rPr>
                      <w:rFonts w:eastAsia="Times New Roman" w:cs="Times New Roman"/>
                      <w:lang w:eastAsia="fr-BE"/>
                    </w:rPr>
                    <w:t xml:space="preserve"> est augmenté, jusqu'à un maximum de 18 %.</w:t>
                  </w:r>
                </w:p>
                <w:p w:rsidR="00425550" w:rsidRPr="00654542" w:rsidRDefault="00425550" w:rsidP="00654542">
                  <w:pPr>
                    <w:spacing w:before="100" w:beforeAutospacing="1" w:after="100" w:afterAutospacing="1" w:line="240" w:lineRule="auto"/>
                    <w:ind w:left="708"/>
                    <w:jc w:val="both"/>
                    <w:rPr>
                      <w:rFonts w:eastAsia="Times New Roman" w:cs="Times New Roman"/>
                      <w:lang w:eastAsia="fr-BE"/>
                    </w:rPr>
                  </w:pPr>
                  <w:r w:rsidRPr="00654542">
                    <w:rPr>
                      <w:rFonts w:eastAsia="Times New Roman" w:cs="Times New Roman"/>
                      <w:lang w:eastAsia="fr-BE"/>
                    </w:rPr>
                    <w:t>Lorsque les émissions du véhicule sont inférieures aux émissions de référence, le taux de base de 0,1 % par gramme de CO</w:t>
                  </w:r>
                  <w:r w:rsidRPr="00654542">
                    <w:rPr>
                      <w:rFonts w:eastAsia="Times New Roman" w:cs="Times New Roman"/>
                      <w:vertAlign w:val="subscript"/>
                      <w:lang w:eastAsia="fr-BE"/>
                    </w:rPr>
                    <w:t>2</w:t>
                  </w:r>
                  <w:r w:rsidRPr="00654542">
                    <w:rPr>
                      <w:rFonts w:eastAsia="Times New Roman" w:cs="Times New Roman"/>
                      <w:lang w:eastAsia="fr-BE"/>
                    </w:rPr>
                    <w:t xml:space="preserve"> est réduit jusqu’au minimum 4 %.</w:t>
                  </w:r>
                </w:p>
                <w:p w:rsidR="00425550" w:rsidRDefault="00425550"/>
              </w:txbxContent>
            </v:textbox>
          </v:shape>
        </w:pict>
      </w:r>
      <w:r w:rsidR="00AD0E7A" w:rsidRPr="002846BC">
        <w:rPr>
          <w:rFonts w:ascii="Century Gothic" w:hAnsi="Century Gothic"/>
          <w:lang w:val="fr-FR"/>
        </w:rPr>
        <w:t>En ce qui concerne les</w:t>
      </w:r>
      <w:r w:rsidR="00AD0E7A" w:rsidRPr="002846BC">
        <w:rPr>
          <w:rFonts w:ascii="Century Gothic" w:hAnsi="Century Gothic"/>
          <w:lang w:val="fr-BE"/>
        </w:rPr>
        <w:t xml:space="preserve"> </w:t>
      </w:r>
      <w:r w:rsidR="00D8012C" w:rsidRPr="002846BC">
        <w:rPr>
          <w:rFonts w:ascii="Century Gothic" w:hAnsi="Century Gothic"/>
          <w:b/>
          <w:lang w:val="fr-BE"/>
        </w:rPr>
        <w:t>véhicules de société</w:t>
      </w:r>
      <w:r w:rsidR="00AD0E7A" w:rsidRPr="002846BC">
        <w:rPr>
          <w:rFonts w:ascii="Century Gothic" w:hAnsi="Century Gothic"/>
          <w:lang w:val="fr-BE"/>
        </w:rPr>
        <w:t>, les avantages fiscaux octroyés par le SPF Finances s’établissent comme suit :</w:t>
      </w: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654542" w:rsidRDefault="00654542" w:rsidP="00654542">
      <w:pPr>
        <w:rPr>
          <w:rFonts w:ascii="Century Gothic" w:hAnsi="Century Gothic"/>
        </w:rPr>
      </w:pPr>
    </w:p>
    <w:p w:rsidR="000F4E61" w:rsidRDefault="000F4E61" w:rsidP="00654542">
      <w:pPr>
        <w:rPr>
          <w:rFonts w:ascii="Century Gothic" w:hAnsi="Century Gothic"/>
        </w:rPr>
      </w:pPr>
    </w:p>
    <w:p w:rsidR="000F4E61" w:rsidRPr="00654542" w:rsidRDefault="000F4E61" w:rsidP="00654542">
      <w:pPr>
        <w:rPr>
          <w:rFonts w:ascii="Century Gothic" w:hAnsi="Century Gothic"/>
        </w:rPr>
      </w:pPr>
    </w:p>
    <w:p w:rsidR="00AD0E7A" w:rsidRPr="002846BC" w:rsidRDefault="00F978FF" w:rsidP="00F978FF">
      <w:pPr>
        <w:pStyle w:val="Paragraphedeliste"/>
        <w:numPr>
          <w:ilvl w:val="0"/>
          <w:numId w:val="9"/>
        </w:numPr>
        <w:jc w:val="both"/>
        <w:rPr>
          <w:rFonts w:ascii="Century Gothic" w:hAnsi="Century Gothic"/>
          <w:lang w:val="fr-FR"/>
        </w:rPr>
      </w:pPr>
      <w:r w:rsidRPr="002846BC">
        <w:rPr>
          <w:rFonts w:ascii="Century Gothic" w:hAnsi="Century Gothic"/>
          <w:lang w:val="fr-FR"/>
        </w:rPr>
        <w:t xml:space="preserve">Les </w:t>
      </w:r>
      <w:r w:rsidR="00D8012C" w:rsidRPr="002846BC">
        <w:rPr>
          <w:rFonts w:ascii="Century Gothic" w:hAnsi="Century Gothic"/>
          <w:b/>
          <w:lang w:val="fr-FR"/>
        </w:rPr>
        <w:t>primes UDE</w:t>
      </w:r>
      <w:r w:rsidRPr="002846BC">
        <w:rPr>
          <w:rFonts w:ascii="Century Gothic" w:hAnsi="Century Gothic"/>
          <w:lang w:val="fr-FR"/>
        </w:rPr>
        <w:t xml:space="preserve"> (Utilisation durable de l’Energie) dans le secteur du </w:t>
      </w:r>
      <w:r w:rsidRPr="000D1CB1">
        <w:rPr>
          <w:rFonts w:ascii="Century Gothic" w:hAnsi="Century Gothic"/>
          <w:b/>
          <w:lang w:val="fr-FR"/>
        </w:rPr>
        <w:t xml:space="preserve">transport routier </w:t>
      </w:r>
      <w:r w:rsidRPr="002846BC">
        <w:rPr>
          <w:rFonts w:ascii="Century Gothic" w:hAnsi="Century Gothic"/>
          <w:lang w:val="fr-FR"/>
        </w:rPr>
        <w:t xml:space="preserve">ont été introduites via l’Arrêté du Gouvernement wallon du 21 avril 2016 relatif aux incitants visant des équipements réduisant la consommation d’énergie et les émissions sonores d’un véhicule, conformément au Règlement (UE) n°1407/2013 du 18 décembre 2013 relatif aux aides </w:t>
      </w:r>
      <w:r w:rsidRPr="002846BC">
        <w:rPr>
          <w:rFonts w:ascii="Century Gothic" w:hAnsi="Century Gothic"/>
          <w:i/>
          <w:lang w:val="fr-FR"/>
        </w:rPr>
        <w:t xml:space="preserve">de </w:t>
      </w:r>
      <w:proofErr w:type="spellStart"/>
      <w:r w:rsidRPr="002846BC">
        <w:rPr>
          <w:rFonts w:ascii="Century Gothic" w:hAnsi="Century Gothic"/>
          <w:i/>
          <w:lang w:val="fr-FR"/>
        </w:rPr>
        <w:t>minimis</w:t>
      </w:r>
      <w:proofErr w:type="spellEnd"/>
      <w:r w:rsidRPr="002846BC">
        <w:rPr>
          <w:rFonts w:ascii="Century Gothic" w:hAnsi="Century Gothic"/>
          <w:i/>
          <w:lang w:val="fr-FR"/>
        </w:rPr>
        <w:t>.</w:t>
      </w:r>
      <w:r w:rsidR="007F6E4C" w:rsidRPr="002846BC">
        <w:rPr>
          <w:rFonts w:ascii="Century Gothic" w:hAnsi="Century Gothic"/>
          <w:i/>
          <w:lang w:val="fr-FR"/>
        </w:rPr>
        <w:t xml:space="preserve"> </w:t>
      </w:r>
      <w:r w:rsidR="007F6E4C" w:rsidRPr="002846BC">
        <w:rPr>
          <w:rFonts w:ascii="Century Gothic" w:hAnsi="Century Gothic"/>
          <w:lang w:val="fr-FR"/>
        </w:rPr>
        <w:t xml:space="preserve">Certaines </w:t>
      </w:r>
      <w:r w:rsidR="00F128A0" w:rsidRPr="002846BC">
        <w:rPr>
          <w:rFonts w:ascii="Century Gothic" w:hAnsi="Century Gothic"/>
          <w:lang w:val="fr-FR"/>
        </w:rPr>
        <w:t xml:space="preserve">de ces aides touchent directement à des mesures réductrices de consommation énergétique et sont établies à 30% de l’investissement. </w:t>
      </w:r>
    </w:p>
    <w:tbl>
      <w:tblPr>
        <w:tblStyle w:val="Grilleclaire-Accent2"/>
        <w:tblW w:w="7796" w:type="dxa"/>
        <w:tblInd w:w="817" w:type="dxa"/>
        <w:tblLayout w:type="fixed"/>
        <w:tblLook w:val="04A0"/>
      </w:tblPr>
      <w:tblGrid>
        <w:gridCol w:w="6629"/>
        <w:gridCol w:w="1167"/>
      </w:tblGrid>
      <w:tr w:rsidR="00F128A0" w:rsidRPr="002846BC" w:rsidTr="00F128A0">
        <w:trPr>
          <w:cnfStyle w:val="100000000000"/>
        </w:trPr>
        <w:tc>
          <w:tcPr>
            <w:cnfStyle w:val="001000000000"/>
            <w:tcW w:w="6629" w:type="dxa"/>
            <w:tcBorders>
              <w:bottom w:val="single" w:sz="8" w:space="0" w:color="C0504D" w:themeColor="accent2"/>
            </w:tcBorders>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 xml:space="preserve">Déflecteur de toit </w:t>
            </w:r>
          </w:p>
        </w:tc>
        <w:tc>
          <w:tcPr>
            <w:tcW w:w="1167" w:type="dxa"/>
            <w:tcBorders>
              <w:bottom w:val="single" w:sz="8" w:space="0" w:color="C0504D" w:themeColor="accent2"/>
            </w:tcBorders>
            <w:vAlign w:val="center"/>
          </w:tcPr>
          <w:p w:rsidR="00F128A0" w:rsidRPr="002846BC" w:rsidRDefault="00F128A0" w:rsidP="00F128A0">
            <w:pPr>
              <w:ind w:left="-108" w:right="-108"/>
              <w:jc w:val="both"/>
              <w:cnfStyle w:val="100000000000"/>
              <w:rPr>
                <w:rFonts w:ascii="Century Gothic" w:hAnsi="Century Gothic" w:cs="Times New Roman"/>
                <w:b w:val="0"/>
              </w:rPr>
            </w:pPr>
            <w:r w:rsidRPr="002846BC">
              <w:rPr>
                <w:rFonts w:ascii="Century Gothic" w:hAnsi="Century Gothic" w:cs="Times New Roman"/>
                <w:b w:val="0"/>
              </w:rPr>
              <w:t>1.700 €</w:t>
            </w:r>
          </w:p>
        </w:tc>
      </w:tr>
      <w:tr w:rsidR="00F128A0" w:rsidRPr="002846BC" w:rsidTr="00F128A0">
        <w:trPr>
          <w:cnfStyle w:val="00000010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 xml:space="preserve">Jupes latérales tracteur </w:t>
            </w:r>
          </w:p>
        </w:tc>
        <w:tc>
          <w:tcPr>
            <w:tcW w:w="1167" w:type="dxa"/>
            <w:vAlign w:val="center"/>
          </w:tcPr>
          <w:p w:rsidR="00F128A0" w:rsidRPr="002846BC" w:rsidRDefault="00F128A0" w:rsidP="00F128A0">
            <w:pPr>
              <w:ind w:left="-108" w:right="-108"/>
              <w:jc w:val="both"/>
              <w:cnfStyle w:val="000000100000"/>
              <w:rPr>
                <w:rFonts w:ascii="Century Gothic" w:hAnsi="Century Gothic" w:cs="Times New Roman"/>
              </w:rPr>
            </w:pPr>
            <w:r w:rsidRPr="002846BC">
              <w:rPr>
                <w:rFonts w:ascii="Century Gothic" w:hAnsi="Century Gothic" w:cs="Times New Roman"/>
              </w:rPr>
              <w:t>2.000 €</w:t>
            </w:r>
          </w:p>
        </w:tc>
      </w:tr>
      <w:tr w:rsidR="00F128A0" w:rsidRPr="002846BC" w:rsidTr="00F128A0">
        <w:trPr>
          <w:cnfStyle w:val="00000001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 xml:space="preserve">Jupes latérales remorque </w:t>
            </w:r>
          </w:p>
        </w:tc>
        <w:tc>
          <w:tcPr>
            <w:tcW w:w="1167" w:type="dxa"/>
            <w:vAlign w:val="center"/>
          </w:tcPr>
          <w:p w:rsidR="00F128A0" w:rsidRPr="002846BC" w:rsidRDefault="00F128A0" w:rsidP="00F128A0">
            <w:pPr>
              <w:ind w:left="-108" w:right="-108"/>
              <w:jc w:val="both"/>
              <w:cnfStyle w:val="000000010000"/>
              <w:rPr>
                <w:rFonts w:ascii="Century Gothic" w:hAnsi="Century Gothic" w:cs="Times New Roman"/>
              </w:rPr>
            </w:pPr>
            <w:r w:rsidRPr="002846BC">
              <w:rPr>
                <w:rFonts w:ascii="Century Gothic" w:hAnsi="Century Gothic" w:cs="Times New Roman"/>
              </w:rPr>
              <w:t>3.500 €</w:t>
            </w:r>
          </w:p>
        </w:tc>
      </w:tr>
      <w:tr w:rsidR="00F128A0" w:rsidRPr="002846BC" w:rsidTr="00F128A0">
        <w:trPr>
          <w:cnfStyle w:val="00000010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Déflecteur de culot</w:t>
            </w:r>
          </w:p>
        </w:tc>
        <w:tc>
          <w:tcPr>
            <w:tcW w:w="1167" w:type="dxa"/>
            <w:vAlign w:val="center"/>
          </w:tcPr>
          <w:p w:rsidR="00F128A0" w:rsidRPr="002846BC" w:rsidRDefault="00F128A0" w:rsidP="00F128A0">
            <w:pPr>
              <w:ind w:left="-108" w:right="-108"/>
              <w:jc w:val="both"/>
              <w:cnfStyle w:val="000000100000"/>
              <w:rPr>
                <w:rFonts w:ascii="Century Gothic" w:hAnsi="Century Gothic" w:cs="Times New Roman"/>
              </w:rPr>
            </w:pPr>
            <w:r w:rsidRPr="002846BC">
              <w:rPr>
                <w:rFonts w:ascii="Century Gothic" w:hAnsi="Century Gothic" w:cs="Times New Roman"/>
              </w:rPr>
              <w:t>1.000 €</w:t>
            </w:r>
          </w:p>
        </w:tc>
      </w:tr>
      <w:tr w:rsidR="00F128A0" w:rsidRPr="002846BC" w:rsidTr="00F128A0">
        <w:trPr>
          <w:cnfStyle w:val="00000001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Boîte de vitesse automatisée</w:t>
            </w:r>
          </w:p>
        </w:tc>
        <w:tc>
          <w:tcPr>
            <w:tcW w:w="1167" w:type="dxa"/>
            <w:vAlign w:val="center"/>
          </w:tcPr>
          <w:p w:rsidR="00F128A0" w:rsidRPr="002846BC" w:rsidRDefault="00F128A0" w:rsidP="00F128A0">
            <w:pPr>
              <w:ind w:left="-108" w:right="-108"/>
              <w:jc w:val="both"/>
              <w:cnfStyle w:val="000000010000"/>
              <w:rPr>
                <w:rFonts w:ascii="Century Gothic" w:hAnsi="Century Gothic" w:cs="Times New Roman"/>
              </w:rPr>
            </w:pPr>
            <w:r w:rsidRPr="002846BC">
              <w:rPr>
                <w:rFonts w:ascii="Century Gothic" w:hAnsi="Century Gothic" w:cs="Times New Roman"/>
              </w:rPr>
              <w:t>2.600 €</w:t>
            </w:r>
          </w:p>
        </w:tc>
      </w:tr>
      <w:tr w:rsidR="00F128A0" w:rsidRPr="002846BC" w:rsidTr="00F128A0">
        <w:trPr>
          <w:cnfStyle w:val="00000010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Système automatique de pression des pneus</w:t>
            </w:r>
          </w:p>
        </w:tc>
        <w:tc>
          <w:tcPr>
            <w:tcW w:w="1167" w:type="dxa"/>
            <w:vAlign w:val="center"/>
          </w:tcPr>
          <w:p w:rsidR="00F128A0" w:rsidRPr="002846BC" w:rsidRDefault="00F128A0" w:rsidP="00F128A0">
            <w:pPr>
              <w:ind w:left="-108" w:right="-108"/>
              <w:jc w:val="both"/>
              <w:cnfStyle w:val="000000100000"/>
              <w:rPr>
                <w:rFonts w:ascii="Century Gothic" w:hAnsi="Century Gothic" w:cs="Times New Roman"/>
              </w:rPr>
            </w:pPr>
            <w:r w:rsidRPr="002846BC">
              <w:rPr>
                <w:rFonts w:ascii="Century Gothic" w:hAnsi="Century Gothic" w:cs="Times New Roman"/>
              </w:rPr>
              <w:t>1.300 €</w:t>
            </w:r>
          </w:p>
        </w:tc>
      </w:tr>
      <w:tr w:rsidR="00F128A0" w:rsidRPr="002846BC" w:rsidTr="00F128A0">
        <w:trPr>
          <w:cnfStyle w:val="000000010000"/>
        </w:trPr>
        <w:tc>
          <w:tcPr>
            <w:cnfStyle w:val="001000000000"/>
            <w:tcW w:w="6629" w:type="dxa"/>
          </w:tcPr>
          <w:p w:rsidR="00F128A0" w:rsidRPr="002846BC" w:rsidRDefault="00F128A0" w:rsidP="00F128A0">
            <w:pPr>
              <w:jc w:val="both"/>
              <w:rPr>
                <w:rFonts w:ascii="Century Gothic" w:eastAsia="Times New Roman" w:hAnsi="Century Gothic" w:cs="Times New Roman"/>
                <w:b w:val="0"/>
                <w:lang w:eastAsia="nl-BE"/>
              </w:rPr>
            </w:pPr>
            <w:r w:rsidRPr="002846BC">
              <w:rPr>
                <w:rFonts w:ascii="Century Gothic" w:eastAsia="Times New Roman" w:hAnsi="Century Gothic" w:cs="Times New Roman"/>
                <w:b w:val="0"/>
                <w:lang w:eastAsia="nl-BE"/>
              </w:rPr>
              <w:t>Système qui évalue le style de conduite en temps réel et donne une série de conseils visant à réduire la consommation</w:t>
            </w:r>
          </w:p>
          <w:p w:rsidR="00F128A0" w:rsidRPr="002846BC" w:rsidRDefault="00F128A0" w:rsidP="00F128A0">
            <w:pPr>
              <w:jc w:val="both"/>
              <w:rPr>
                <w:rFonts w:ascii="Century Gothic" w:eastAsia="Times New Roman" w:hAnsi="Century Gothic" w:cs="Times New Roman"/>
                <w:b w:val="0"/>
                <w:lang w:eastAsia="nl-BE"/>
              </w:rPr>
            </w:pPr>
            <w:r w:rsidRPr="002846BC">
              <w:rPr>
                <w:rFonts w:ascii="Century Gothic" w:eastAsia="Times New Roman" w:hAnsi="Century Gothic" w:cs="Times New Roman"/>
                <w:b w:val="0"/>
                <w:lang w:eastAsia="nl-BE"/>
              </w:rPr>
              <w:t>(abonnement – prix/an)</w:t>
            </w:r>
          </w:p>
        </w:tc>
        <w:tc>
          <w:tcPr>
            <w:tcW w:w="1167" w:type="dxa"/>
            <w:vAlign w:val="center"/>
          </w:tcPr>
          <w:p w:rsidR="00F128A0" w:rsidRPr="002846BC" w:rsidRDefault="00F128A0" w:rsidP="00F128A0">
            <w:pPr>
              <w:ind w:left="-108" w:right="-108"/>
              <w:jc w:val="both"/>
              <w:cnfStyle w:val="000000010000"/>
              <w:rPr>
                <w:rFonts w:ascii="Century Gothic" w:eastAsia="Times New Roman" w:hAnsi="Century Gothic" w:cs="Times New Roman"/>
                <w:lang w:eastAsia="nl-BE"/>
              </w:rPr>
            </w:pPr>
            <w:r w:rsidRPr="002846BC">
              <w:rPr>
                <w:rFonts w:ascii="Century Gothic" w:eastAsia="Times New Roman" w:hAnsi="Century Gothic" w:cs="Times New Roman"/>
                <w:lang w:eastAsia="nl-BE"/>
              </w:rPr>
              <w:t>1.700 €</w:t>
            </w:r>
          </w:p>
        </w:tc>
      </w:tr>
      <w:tr w:rsidR="00F128A0" w:rsidRPr="002846BC" w:rsidTr="00F128A0">
        <w:trPr>
          <w:cnfStyle w:val="000000100000"/>
        </w:trPr>
        <w:tc>
          <w:tcPr>
            <w:cnfStyle w:val="001000000000"/>
            <w:tcW w:w="6629" w:type="dxa"/>
          </w:tcPr>
          <w:p w:rsidR="00F128A0" w:rsidRPr="002846BC" w:rsidRDefault="00F128A0" w:rsidP="00F128A0">
            <w:pPr>
              <w:jc w:val="both"/>
              <w:rPr>
                <w:rFonts w:ascii="Century Gothic" w:eastAsia="Times New Roman" w:hAnsi="Century Gothic" w:cs="Times New Roman"/>
                <w:b w:val="0"/>
                <w:lang w:eastAsia="nl-BE"/>
              </w:rPr>
            </w:pPr>
            <w:r w:rsidRPr="002846BC">
              <w:rPr>
                <w:rFonts w:ascii="Century Gothic" w:eastAsia="Times New Roman" w:hAnsi="Century Gothic" w:cs="Times New Roman"/>
                <w:b w:val="0"/>
                <w:lang w:eastAsia="nl-BE"/>
              </w:rPr>
              <w:t xml:space="preserve">Système de navigation intelligent et d’assistance à la </w:t>
            </w:r>
            <w:r w:rsidRPr="002846BC">
              <w:rPr>
                <w:rFonts w:ascii="Century Gothic" w:eastAsia="Times New Roman" w:hAnsi="Century Gothic" w:cs="Times New Roman"/>
                <w:b w:val="0"/>
                <w:lang w:eastAsia="nl-BE"/>
              </w:rPr>
              <w:lastRenderedPageBreak/>
              <w:t>conduite</w:t>
            </w:r>
          </w:p>
        </w:tc>
        <w:tc>
          <w:tcPr>
            <w:tcW w:w="1167" w:type="dxa"/>
            <w:vAlign w:val="center"/>
          </w:tcPr>
          <w:p w:rsidR="00F128A0" w:rsidRPr="002846BC" w:rsidRDefault="00F128A0" w:rsidP="00F128A0">
            <w:pPr>
              <w:ind w:left="-108" w:right="-108"/>
              <w:jc w:val="both"/>
              <w:cnfStyle w:val="000000100000"/>
              <w:rPr>
                <w:rFonts w:ascii="Century Gothic" w:eastAsia="Times New Roman" w:hAnsi="Century Gothic" w:cs="Times New Roman"/>
                <w:lang w:eastAsia="nl-BE"/>
              </w:rPr>
            </w:pPr>
            <w:r w:rsidRPr="002846BC">
              <w:rPr>
                <w:rFonts w:ascii="Century Gothic" w:eastAsia="Times New Roman" w:hAnsi="Century Gothic" w:cs="Times New Roman"/>
                <w:lang w:eastAsia="nl-BE"/>
              </w:rPr>
              <w:lastRenderedPageBreak/>
              <w:t>3.000 €</w:t>
            </w:r>
          </w:p>
        </w:tc>
      </w:tr>
      <w:tr w:rsidR="00F128A0" w:rsidRPr="002846BC" w:rsidTr="00F128A0">
        <w:trPr>
          <w:cnfStyle w:val="00000001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lastRenderedPageBreak/>
              <w:t>Phares à LED</w:t>
            </w:r>
          </w:p>
        </w:tc>
        <w:tc>
          <w:tcPr>
            <w:tcW w:w="1167" w:type="dxa"/>
            <w:vAlign w:val="center"/>
          </w:tcPr>
          <w:p w:rsidR="00F128A0" w:rsidRPr="002846BC" w:rsidRDefault="00F128A0" w:rsidP="00F128A0">
            <w:pPr>
              <w:ind w:left="-108" w:right="-108"/>
              <w:jc w:val="both"/>
              <w:cnfStyle w:val="000000010000"/>
              <w:rPr>
                <w:rFonts w:ascii="Century Gothic" w:hAnsi="Century Gothic" w:cs="Times New Roman"/>
              </w:rPr>
            </w:pPr>
            <w:r w:rsidRPr="002846BC">
              <w:rPr>
                <w:rFonts w:ascii="Century Gothic" w:hAnsi="Century Gothic" w:cs="Times New Roman"/>
              </w:rPr>
              <w:t>1.000 €</w:t>
            </w:r>
          </w:p>
        </w:tc>
      </w:tr>
      <w:tr w:rsidR="00F128A0" w:rsidRPr="002846BC" w:rsidTr="00F128A0">
        <w:trPr>
          <w:cnfStyle w:val="00000010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Système de réduction de la charge à l’essieu</w:t>
            </w:r>
          </w:p>
        </w:tc>
        <w:tc>
          <w:tcPr>
            <w:tcW w:w="1167" w:type="dxa"/>
            <w:vAlign w:val="center"/>
          </w:tcPr>
          <w:p w:rsidR="00F128A0" w:rsidRPr="002846BC" w:rsidRDefault="00F128A0" w:rsidP="00F128A0">
            <w:pPr>
              <w:ind w:left="-108" w:right="-108"/>
              <w:jc w:val="both"/>
              <w:cnfStyle w:val="000000100000"/>
              <w:rPr>
                <w:rFonts w:ascii="Century Gothic" w:hAnsi="Century Gothic" w:cs="Times New Roman"/>
              </w:rPr>
            </w:pPr>
            <w:r w:rsidRPr="002846BC">
              <w:rPr>
                <w:rFonts w:ascii="Century Gothic" w:hAnsi="Century Gothic" w:cs="Times New Roman"/>
              </w:rPr>
              <w:t>700 €</w:t>
            </w:r>
          </w:p>
        </w:tc>
      </w:tr>
      <w:tr w:rsidR="00F128A0" w:rsidRPr="002846BC" w:rsidTr="00F128A0">
        <w:trPr>
          <w:cnfStyle w:val="000000010000"/>
        </w:trPr>
        <w:tc>
          <w:tcPr>
            <w:cnfStyle w:val="001000000000"/>
            <w:tcW w:w="6629" w:type="dxa"/>
          </w:tcPr>
          <w:p w:rsidR="00F128A0" w:rsidRPr="002846BC" w:rsidRDefault="00F128A0" w:rsidP="00F128A0">
            <w:pPr>
              <w:jc w:val="both"/>
              <w:rPr>
                <w:rFonts w:ascii="Century Gothic" w:hAnsi="Century Gothic" w:cs="Times New Roman"/>
                <w:b w:val="0"/>
              </w:rPr>
            </w:pPr>
            <w:r w:rsidRPr="002846BC">
              <w:rPr>
                <w:rFonts w:ascii="Century Gothic" w:hAnsi="Century Gothic" w:cs="Times New Roman"/>
                <w:b w:val="0"/>
              </w:rPr>
              <w:t>Unité frigorifique réduisant l’impact écologique</w:t>
            </w:r>
          </w:p>
        </w:tc>
        <w:tc>
          <w:tcPr>
            <w:tcW w:w="1167" w:type="dxa"/>
            <w:vAlign w:val="center"/>
          </w:tcPr>
          <w:p w:rsidR="00F128A0" w:rsidRPr="002846BC" w:rsidRDefault="00F128A0" w:rsidP="00F128A0">
            <w:pPr>
              <w:ind w:left="-108" w:right="-108"/>
              <w:jc w:val="both"/>
              <w:cnfStyle w:val="000000010000"/>
              <w:rPr>
                <w:rFonts w:ascii="Century Gothic" w:hAnsi="Century Gothic" w:cs="Times New Roman"/>
              </w:rPr>
            </w:pPr>
            <w:r w:rsidRPr="002846BC">
              <w:rPr>
                <w:rFonts w:ascii="Century Gothic" w:hAnsi="Century Gothic" w:cs="Times New Roman"/>
              </w:rPr>
              <w:t>10.000 €</w:t>
            </w:r>
          </w:p>
        </w:tc>
      </w:tr>
    </w:tbl>
    <w:p w:rsidR="006D7EEC" w:rsidRPr="002846BC" w:rsidRDefault="006D7EEC" w:rsidP="006D7EEC">
      <w:pPr>
        <w:rPr>
          <w:rFonts w:ascii="Century Gothic" w:hAnsi="Century Gothic"/>
        </w:rPr>
      </w:pPr>
    </w:p>
    <w:p w:rsidR="00081D05" w:rsidRDefault="00081D05" w:rsidP="00081D05">
      <w:pPr>
        <w:pStyle w:val="Paragraphedeliste"/>
        <w:ind w:left="714"/>
        <w:jc w:val="both"/>
        <w:rPr>
          <w:rFonts w:ascii="Century Gothic" w:hAnsi="Century Gothic"/>
          <w:lang w:val="fr-FR"/>
        </w:rPr>
      </w:pPr>
      <w:r>
        <w:rPr>
          <w:rFonts w:ascii="Century Gothic" w:hAnsi="Century Gothic"/>
          <w:lang w:val="fr-FR"/>
        </w:rPr>
        <w:t>Le Gouvernement prévoit la prolongation et l’extension de ces mesures les budgets y alloués n’</w:t>
      </w:r>
      <w:r w:rsidR="00370196">
        <w:rPr>
          <w:rFonts w:ascii="Century Gothic" w:hAnsi="Century Gothic"/>
          <w:lang w:val="fr-FR"/>
        </w:rPr>
        <w:t>ayant</w:t>
      </w:r>
      <w:r>
        <w:rPr>
          <w:rFonts w:ascii="Century Gothic" w:hAnsi="Century Gothic"/>
          <w:lang w:val="fr-FR"/>
        </w:rPr>
        <w:t xml:space="preserve"> pas</w:t>
      </w:r>
      <w:r w:rsidR="00370196">
        <w:rPr>
          <w:rFonts w:ascii="Century Gothic" w:hAnsi="Century Gothic"/>
          <w:lang w:val="fr-FR"/>
        </w:rPr>
        <w:t xml:space="preserve"> été</w:t>
      </w:r>
      <w:r>
        <w:rPr>
          <w:rFonts w:ascii="Century Gothic" w:hAnsi="Century Gothic"/>
          <w:lang w:val="fr-FR"/>
        </w:rPr>
        <w:t xml:space="preserve"> liquidés. </w:t>
      </w:r>
    </w:p>
    <w:p w:rsidR="00695BF4" w:rsidRPr="002846BC" w:rsidRDefault="006D7EEC" w:rsidP="00FE7B87">
      <w:pPr>
        <w:pStyle w:val="Paragraphedeliste"/>
        <w:numPr>
          <w:ilvl w:val="0"/>
          <w:numId w:val="9"/>
        </w:numPr>
        <w:ind w:left="714" w:hanging="357"/>
        <w:jc w:val="both"/>
        <w:rPr>
          <w:rFonts w:ascii="Century Gothic" w:hAnsi="Century Gothic"/>
          <w:lang w:val="fr-FR"/>
        </w:rPr>
      </w:pPr>
      <w:r w:rsidRPr="002846BC">
        <w:rPr>
          <w:rFonts w:ascii="Century Gothic" w:hAnsi="Century Gothic"/>
          <w:lang w:val="fr-FR"/>
        </w:rPr>
        <w:t>Le Plan wallon d’aides au</w:t>
      </w:r>
      <w:r w:rsidR="00695BF4" w:rsidRPr="002846BC">
        <w:rPr>
          <w:rFonts w:ascii="Century Gothic" w:hAnsi="Century Gothic"/>
          <w:lang w:val="fr-FR"/>
        </w:rPr>
        <w:t>x modes de transport alternatif</w:t>
      </w:r>
      <w:r w:rsidRPr="002846BC">
        <w:rPr>
          <w:rFonts w:ascii="Century Gothic" w:hAnsi="Century Gothic"/>
          <w:lang w:val="fr-FR"/>
        </w:rPr>
        <w:t>s à la route. Adopté pour la période 2014-220, ce plan vise à soutenir</w:t>
      </w:r>
      <w:r w:rsidR="00695BF4" w:rsidRPr="002846BC">
        <w:rPr>
          <w:rFonts w:ascii="Century Gothic" w:hAnsi="Century Gothic"/>
          <w:lang w:val="fr-FR"/>
        </w:rPr>
        <w:t xml:space="preserve"> financièrement</w:t>
      </w:r>
      <w:r w:rsidRPr="002846BC">
        <w:rPr>
          <w:rFonts w:ascii="Century Gothic" w:hAnsi="Century Gothic"/>
          <w:lang w:val="fr-FR"/>
        </w:rPr>
        <w:t xml:space="preserve"> certaines initiatives</w:t>
      </w:r>
      <w:r w:rsidR="00851B35" w:rsidRPr="002846BC">
        <w:rPr>
          <w:rFonts w:ascii="Century Gothic" w:hAnsi="Century Gothic"/>
          <w:lang w:val="fr-FR"/>
        </w:rPr>
        <w:t xml:space="preserve"> promouvant le </w:t>
      </w:r>
      <w:r w:rsidR="00D8012C" w:rsidRPr="002846BC">
        <w:rPr>
          <w:rFonts w:ascii="Century Gothic" w:hAnsi="Century Gothic"/>
          <w:b/>
          <w:lang w:val="fr-FR"/>
        </w:rPr>
        <w:t>transport fluvial et ferré</w:t>
      </w:r>
      <w:r w:rsidR="00851B35" w:rsidRPr="002846BC">
        <w:rPr>
          <w:rFonts w:ascii="Century Gothic" w:hAnsi="Century Gothic"/>
          <w:lang w:val="fr-FR"/>
        </w:rPr>
        <w:t>. Concrètement, parmi ces primes, certaines visent à</w:t>
      </w:r>
      <w:r w:rsidR="00695BF4" w:rsidRPr="002846BC">
        <w:rPr>
          <w:rFonts w:ascii="Century Gothic" w:hAnsi="Century Gothic"/>
          <w:lang w:val="fr-FR"/>
        </w:rPr>
        <w:t> :</w:t>
      </w:r>
    </w:p>
    <w:p w:rsidR="00CB27DF" w:rsidRPr="002846BC" w:rsidRDefault="00851B35" w:rsidP="00695BF4">
      <w:pPr>
        <w:pStyle w:val="Paragraphedeliste"/>
        <w:numPr>
          <w:ilvl w:val="1"/>
          <w:numId w:val="9"/>
        </w:numPr>
        <w:jc w:val="both"/>
        <w:rPr>
          <w:rFonts w:ascii="Century Gothic" w:hAnsi="Century Gothic"/>
          <w:lang w:val="fr-FR"/>
        </w:rPr>
      </w:pPr>
      <w:r w:rsidRPr="002846BC">
        <w:rPr>
          <w:rFonts w:ascii="Century Gothic" w:hAnsi="Century Gothic"/>
          <w:lang w:val="fr-FR"/>
        </w:rPr>
        <w:t xml:space="preserve">la promotion </w:t>
      </w:r>
      <w:r w:rsidR="00FE7B87" w:rsidRPr="002846BC">
        <w:rPr>
          <w:rFonts w:ascii="Century Gothic" w:hAnsi="Century Gothic"/>
          <w:lang w:val="fr-FR"/>
        </w:rPr>
        <w:t xml:space="preserve">d’infrastructures facilitant l’usage </w:t>
      </w:r>
      <w:r w:rsidR="00CB27DF" w:rsidRPr="002846BC">
        <w:rPr>
          <w:rFonts w:ascii="Century Gothic" w:hAnsi="Century Gothic"/>
          <w:lang w:val="fr-FR"/>
        </w:rPr>
        <w:t>du rail ou des voies navigables ;</w:t>
      </w:r>
      <w:r w:rsidR="00FE7B87" w:rsidRPr="002846BC">
        <w:rPr>
          <w:rFonts w:ascii="Century Gothic" w:hAnsi="Century Gothic"/>
          <w:lang w:val="fr-FR"/>
        </w:rPr>
        <w:t xml:space="preserve"> </w:t>
      </w:r>
    </w:p>
    <w:p w:rsidR="00CB27DF" w:rsidRPr="002846BC" w:rsidRDefault="00CB27DF" w:rsidP="00695BF4">
      <w:pPr>
        <w:pStyle w:val="Paragraphedeliste"/>
        <w:numPr>
          <w:ilvl w:val="1"/>
          <w:numId w:val="9"/>
        </w:numPr>
        <w:jc w:val="both"/>
        <w:rPr>
          <w:rFonts w:ascii="Century Gothic" w:hAnsi="Century Gothic"/>
          <w:lang w:val="fr-FR"/>
        </w:rPr>
      </w:pPr>
      <w:r w:rsidRPr="002846BC">
        <w:rPr>
          <w:rFonts w:ascii="Century Gothic" w:hAnsi="Century Gothic"/>
          <w:lang w:val="fr-FR"/>
        </w:rPr>
        <w:t xml:space="preserve">l’adaptation technique des navires ou ce compris </w:t>
      </w:r>
      <w:r w:rsidR="00FE7B87" w:rsidRPr="002846BC">
        <w:rPr>
          <w:rFonts w:ascii="Century Gothic" w:hAnsi="Century Gothic"/>
          <w:lang w:val="fr-FR"/>
        </w:rPr>
        <w:t xml:space="preserve">la conversion énergétique de </w:t>
      </w:r>
      <w:r w:rsidRPr="002846BC">
        <w:rPr>
          <w:rFonts w:ascii="Century Gothic" w:hAnsi="Century Gothic"/>
          <w:lang w:val="fr-FR"/>
        </w:rPr>
        <w:t>ceux-ci ;</w:t>
      </w:r>
      <w:r w:rsidR="00FE7B87" w:rsidRPr="002846BC">
        <w:rPr>
          <w:rFonts w:ascii="Century Gothic" w:hAnsi="Century Gothic"/>
          <w:lang w:val="fr-FR"/>
        </w:rPr>
        <w:t xml:space="preserve"> </w:t>
      </w:r>
    </w:p>
    <w:p w:rsidR="006D7EEC" w:rsidRPr="002846BC" w:rsidRDefault="00FE7B87" w:rsidP="00695BF4">
      <w:pPr>
        <w:pStyle w:val="Paragraphedeliste"/>
        <w:numPr>
          <w:ilvl w:val="1"/>
          <w:numId w:val="9"/>
        </w:numPr>
        <w:jc w:val="both"/>
        <w:rPr>
          <w:rFonts w:ascii="Century Gothic" w:hAnsi="Century Gothic"/>
          <w:lang w:val="fr-FR"/>
        </w:rPr>
      </w:pPr>
      <w:r w:rsidRPr="002846BC">
        <w:rPr>
          <w:rFonts w:ascii="Century Gothic" w:hAnsi="Century Gothic"/>
          <w:lang w:val="fr-FR"/>
        </w:rPr>
        <w:t>la promotion du transport de biens par conteneurs fluviaux.</w:t>
      </w:r>
    </w:p>
    <w:p w:rsidR="00CB27DF" w:rsidRPr="000D1CB1" w:rsidRDefault="00CB27DF" w:rsidP="00695BF4">
      <w:pPr>
        <w:pStyle w:val="Paragraphedeliste"/>
        <w:numPr>
          <w:ilvl w:val="1"/>
          <w:numId w:val="9"/>
        </w:numPr>
        <w:jc w:val="both"/>
        <w:rPr>
          <w:rStyle w:val="lev"/>
          <w:rFonts w:ascii="Century Gothic" w:hAnsi="Century Gothic"/>
          <w:b w:val="0"/>
          <w:bCs w:val="0"/>
          <w:lang w:val="fr-BE"/>
        </w:rPr>
      </w:pPr>
      <w:r w:rsidRPr="002846BC">
        <w:rPr>
          <w:rStyle w:val="lev"/>
          <w:rFonts w:ascii="Century Gothic" w:hAnsi="Century Gothic"/>
          <w:b w:val="0"/>
          <w:lang w:val="fr-BE"/>
        </w:rPr>
        <w:t>la réalisation d’études ayant pour but d’identifier les incidences et l’opportunité d’un passage au transport combiné</w:t>
      </w:r>
    </w:p>
    <w:p w:rsidR="000D1CB1" w:rsidRPr="002846BC" w:rsidRDefault="000D1CB1" w:rsidP="000D1CB1">
      <w:pPr>
        <w:pStyle w:val="Paragraphedeliste"/>
        <w:ind w:left="1440"/>
        <w:jc w:val="both"/>
        <w:rPr>
          <w:rFonts w:ascii="Century Gothic" w:hAnsi="Century Gothic"/>
          <w:lang w:val="fr-BE"/>
        </w:rPr>
      </w:pPr>
    </w:p>
    <w:p w:rsidR="00444047" w:rsidRPr="000D1CB1" w:rsidRDefault="00EB53CA" w:rsidP="00444047">
      <w:pPr>
        <w:pStyle w:val="Paragraphedeliste"/>
        <w:numPr>
          <w:ilvl w:val="0"/>
          <w:numId w:val="9"/>
        </w:numPr>
        <w:ind w:left="714" w:hanging="357"/>
        <w:jc w:val="both"/>
        <w:rPr>
          <w:rFonts w:ascii="Century Gothic" w:hAnsi="Century Gothic"/>
          <w:lang w:val="fr-BE"/>
        </w:rPr>
      </w:pPr>
      <w:r w:rsidRPr="002846BC">
        <w:rPr>
          <w:rFonts w:ascii="Century Gothic" w:hAnsi="Century Gothic"/>
          <w:lang w:val="fr-FR"/>
        </w:rPr>
        <w:t xml:space="preserve">Programme </w:t>
      </w:r>
      <w:r w:rsidRPr="000D1CB1">
        <w:rPr>
          <w:rFonts w:ascii="Century Gothic" w:hAnsi="Century Gothic"/>
          <w:b/>
          <w:lang w:val="fr-FR"/>
        </w:rPr>
        <w:t>« Lean and Green </w:t>
      </w:r>
      <w:r w:rsidRPr="002846BC">
        <w:rPr>
          <w:rFonts w:ascii="Century Gothic" w:hAnsi="Century Gothic"/>
          <w:lang w:val="fr-FR"/>
        </w:rPr>
        <w:t>». Lancé en 2014 par le Pôle « </w:t>
      </w:r>
      <w:proofErr w:type="spellStart"/>
      <w:r w:rsidRPr="002846BC">
        <w:rPr>
          <w:rFonts w:ascii="Century Gothic" w:hAnsi="Century Gothic"/>
          <w:lang w:val="fr-FR"/>
        </w:rPr>
        <w:t>Logistics</w:t>
      </w:r>
      <w:proofErr w:type="spellEnd"/>
      <w:r w:rsidRPr="002846BC">
        <w:rPr>
          <w:rFonts w:ascii="Century Gothic" w:hAnsi="Century Gothic"/>
          <w:lang w:val="fr-FR"/>
        </w:rPr>
        <w:t xml:space="preserve"> in </w:t>
      </w:r>
      <w:proofErr w:type="spellStart"/>
      <w:r w:rsidRPr="002846BC">
        <w:rPr>
          <w:rFonts w:ascii="Century Gothic" w:hAnsi="Century Gothic"/>
          <w:lang w:val="fr-FR"/>
        </w:rPr>
        <w:t>Wallonia</w:t>
      </w:r>
      <w:proofErr w:type="spellEnd"/>
      <w:r w:rsidRPr="002846BC">
        <w:rPr>
          <w:rFonts w:ascii="Century Gothic" w:hAnsi="Century Gothic"/>
          <w:lang w:val="fr-FR"/>
        </w:rPr>
        <w:t xml:space="preserve"> » sur un concept existant aux Pays-Bas, le programme </w:t>
      </w:r>
      <w:r w:rsidR="007651F0" w:rsidRPr="002846BC">
        <w:rPr>
          <w:rFonts w:ascii="Century Gothic" w:hAnsi="Century Gothic"/>
          <w:bCs/>
          <w:lang w:val="fr-FR"/>
        </w:rPr>
        <w:t xml:space="preserve">vise à un accompagnement des transporteurs dont l'aboutissement est une </w:t>
      </w:r>
      <w:r w:rsidR="00D8012C" w:rsidRPr="002846BC">
        <w:rPr>
          <w:rFonts w:ascii="Century Gothic" w:hAnsi="Century Gothic"/>
          <w:b/>
          <w:bCs/>
          <w:lang w:val="fr-FR"/>
        </w:rPr>
        <w:t>certification environnementale</w:t>
      </w:r>
      <w:r w:rsidR="007651F0" w:rsidRPr="002846BC">
        <w:rPr>
          <w:rFonts w:ascii="Century Gothic" w:hAnsi="Century Gothic"/>
          <w:bCs/>
          <w:lang w:val="fr-FR"/>
        </w:rPr>
        <w:t xml:space="preserve"> reconnue </w:t>
      </w:r>
      <w:r w:rsidR="007651F0" w:rsidRPr="002846BC">
        <w:rPr>
          <w:rFonts w:ascii="Century Gothic" w:hAnsi="Century Gothic"/>
          <w:lang w:val="fr-FR"/>
        </w:rPr>
        <w:t>récompensant les efforts stratégiques et opérationnels d'une entreprise associés à la recherche d’une efficacité / optimisation logistique.</w:t>
      </w:r>
    </w:p>
    <w:p w:rsidR="000D1CB1" w:rsidRPr="002846BC" w:rsidRDefault="000D1CB1" w:rsidP="000D1CB1">
      <w:pPr>
        <w:pStyle w:val="Paragraphedeliste"/>
        <w:ind w:left="714"/>
        <w:jc w:val="both"/>
        <w:rPr>
          <w:rFonts w:ascii="Century Gothic" w:hAnsi="Century Gothic"/>
          <w:lang w:val="fr-BE"/>
        </w:rPr>
      </w:pPr>
    </w:p>
    <w:p w:rsidR="00372EEB" w:rsidRDefault="005B4111">
      <w:pPr>
        <w:pStyle w:val="Paragraphedeliste"/>
        <w:numPr>
          <w:ilvl w:val="0"/>
          <w:numId w:val="9"/>
        </w:numPr>
        <w:ind w:hanging="357"/>
        <w:jc w:val="both"/>
        <w:rPr>
          <w:rFonts w:ascii="Century Gothic" w:hAnsi="Century Gothic"/>
          <w:lang w:val="fr-FR"/>
        </w:rPr>
      </w:pPr>
      <w:r w:rsidRPr="002846BC">
        <w:rPr>
          <w:rFonts w:ascii="Century Gothic" w:hAnsi="Century Gothic"/>
          <w:lang w:val="fr-FR"/>
        </w:rPr>
        <w:t xml:space="preserve">L'arrêté ministériel du 4 décembre 1997, modifiant l'arrêté ministériel du 11 août 1994 répartissant les voies publiques de la Région wallonne en catégories fonctionnelles, a donné un statut officiel au </w:t>
      </w:r>
      <w:r w:rsidR="00D8012C" w:rsidRPr="002846BC">
        <w:rPr>
          <w:rFonts w:ascii="Century Gothic" w:hAnsi="Century Gothic"/>
          <w:b/>
          <w:lang w:val="fr-FR"/>
        </w:rPr>
        <w:t>Réseau Autonome des Voies Lentes (RAVEL)</w:t>
      </w:r>
      <w:r w:rsidRPr="002846BC">
        <w:rPr>
          <w:rFonts w:ascii="Century Gothic" w:hAnsi="Century Gothic"/>
          <w:lang w:val="fr-FR"/>
        </w:rPr>
        <w:t>, permettant ainsi de généraliser une pratique mise en œuvre en 1995 en Wallonie.</w:t>
      </w:r>
      <w:r w:rsidR="00D8012C" w:rsidRPr="002846BC">
        <w:rPr>
          <w:rFonts w:ascii="Century Gothic" w:hAnsi="Century Gothic"/>
          <w:lang w:val="fr-FR"/>
        </w:rPr>
        <w:t xml:space="preserve"> Depuis, 1.350 km de voies lentes ont été développées.</w:t>
      </w:r>
    </w:p>
    <w:p w:rsidR="000D1CB1" w:rsidRPr="000D1CB1" w:rsidRDefault="000D1CB1" w:rsidP="000D1CB1">
      <w:pPr>
        <w:pStyle w:val="Paragraphedeliste"/>
        <w:rPr>
          <w:rFonts w:ascii="Century Gothic" w:hAnsi="Century Gothic"/>
          <w:lang w:val="fr-FR"/>
        </w:rPr>
      </w:pPr>
    </w:p>
    <w:p w:rsidR="00751382" w:rsidRDefault="00751382" w:rsidP="00751382">
      <w:pPr>
        <w:pStyle w:val="Paragraphedeliste"/>
        <w:numPr>
          <w:ilvl w:val="0"/>
          <w:numId w:val="9"/>
        </w:numPr>
        <w:rPr>
          <w:rFonts w:ascii="Century Gothic" w:hAnsi="Century Gothic"/>
          <w:lang w:val="fr-FR"/>
        </w:rPr>
      </w:pPr>
      <w:r w:rsidRPr="000D1CB1">
        <w:rPr>
          <w:rFonts w:ascii="Century Gothic" w:hAnsi="Century Gothic"/>
          <w:b/>
          <w:lang w:val="fr-FR"/>
        </w:rPr>
        <w:t>T</w:t>
      </w:r>
      <w:r w:rsidR="0058559A" w:rsidRPr="000D1CB1">
        <w:rPr>
          <w:rFonts w:ascii="Century Gothic" w:hAnsi="Century Gothic"/>
          <w:b/>
          <w:lang w:val="fr-FR"/>
        </w:rPr>
        <w:t>axation</w:t>
      </w:r>
      <w:r w:rsidR="0058559A" w:rsidRPr="000D1CB1">
        <w:rPr>
          <w:rFonts w:ascii="Century Gothic" w:hAnsi="Century Gothic"/>
          <w:lang w:val="fr-FR"/>
        </w:rPr>
        <w:t xml:space="preserve"> incitative </w:t>
      </w:r>
      <w:r w:rsidRPr="000D1CB1">
        <w:rPr>
          <w:rFonts w:ascii="Century Gothic" w:hAnsi="Century Gothic"/>
          <w:lang w:val="fr-FR"/>
        </w:rPr>
        <w:t xml:space="preserve">pour les </w:t>
      </w:r>
      <w:r w:rsidRPr="000D1CB1">
        <w:rPr>
          <w:rFonts w:ascii="Century Gothic" w:hAnsi="Century Gothic"/>
          <w:b/>
          <w:lang w:val="fr-FR"/>
        </w:rPr>
        <w:t>véhicules alterna</w:t>
      </w:r>
      <w:r w:rsidR="00D8012C" w:rsidRPr="000D1CB1">
        <w:rPr>
          <w:rFonts w:ascii="Century Gothic" w:hAnsi="Century Gothic"/>
          <w:b/>
          <w:lang w:val="fr-FR"/>
        </w:rPr>
        <w:t>tifs</w:t>
      </w:r>
      <w:r w:rsidR="00D8012C" w:rsidRPr="000D1CB1">
        <w:rPr>
          <w:rFonts w:ascii="Century Gothic" w:hAnsi="Century Gothic"/>
          <w:lang w:val="fr-FR"/>
        </w:rPr>
        <w:t> : Taxe de mise en circulation minimale pour les véhicules électriques (61,50€)</w:t>
      </w:r>
      <w:r w:rsidR="000D1CB1" w:rsidRPr="000D1CB1">
        <w:rPr>
          <w:rFonts w:ascii="Century Gothic" w:hAnsi="Century Gothic"/>
          <w:lang w:val="fr-FR"/>
        </w:rPr>
        <w:t xml:space="preserve">, </w:t>
      </w:r>
      <w:r w:rsidR="000D1CB1">
        <w:rPr>
          <w:rFonts w:ascii="Century Gothic" w:hAnsi="Century Gothic"/>
          <w:lang w:val="fr-FR"/>
        </w:rPr>
        <w:t>a</w:t>
      </w:r>
      <w:r w:rsidR="00D8012C" w:rsidRPr="000D1CB1">
        <w:rPr>
          <w:rFonts w:ascii="Century Gothic" w:hAnsi="Century Gothic"/>
          <w:lang w:val="fr-FR"/>
        </w:rPr>
        <w:t xml:space="preserve">vantage fiscal fixé à 120% pour les véhicules de société roulant exclusivement à </w:t>
      </w:r>
      <w:r w:rsidR="000D1CB1">
        <w:rPr>
          <w:rFonts w:ascii="Century Gothic" w:hAnsi="Century Gothic"/>
          <w:lang w:val="fr-FR"/>
        </w:rPr>
        <w:t>l’électricité ou à l’hydrogène.</w:t>
      </w:r>
    </w:p>
    <w:p w:rsidR="000D1CB1" w:rsidRPr="000D1CB1" w:rsidRDefault="000D1CB1" w:rsidP="000D1CB1">
      <w:pPr>
        <w:pStyle w:val="Paragraphedeliste"/>
        <w:rPr>
          <w:rFonts w:ascii="Century Gothic" w:hAnsi="Century Gothic"/>
          <w:lang w:val="fr-FR"/>
        </w:rPr>
      </w:pPr>
    </w:p>
    <w:p w:rsidR="0058559A" w:rsidRPr="002846BC" w:rsidRDefault="0058559A" w:rsidP="0058559A">
      <w:pPr>
        <w:pStyle w:val="Paragraphedeliste"/>
        <w:numPr>
          <w:ilvl w:val="0"/>
          <w:numId w:val="9"/>
        </w:numPr>
        <w:rPr>
          <w:rFonts w:ascii="Century Gothic" w:hAnsi="Century Gothic"/>
          <w:lang w:val="fr-FR"/>
        </w:rPr>
      </w:pPr>
      <w:r w:rsidRPr="000D1CB1">
        <w:rPr>
          <w:rFonts w:ascii="Century Gothic" w:hAnsi="Century Gothic"/>
          <w:b/>
          <w:lang w:val="fr-FR"/>
        </w:rPr>
        <w:t>Hybridation</w:t>
      </w:r>
      <w:r w:rsidRPr="002846BC">
        <w:rPr>
          <w:rFonts w:ascii="Century Gothic" w:hAnsi="Century Gothic"/>
          <w:lang w:val="fr-FR"/>
        </w:rPr>
        <w:t xml:space="preserve"> progressive du parc roulant du groupe TEC.</w:t>
      </w:r>
    </w:p>
    <w:p w:rsidR="00372EEB" w:rsidRPr="002846BC" w:rsidRDefault="00372EEB">
      <w:pPr>
        <w:pStyle w:val="Paragraphedeliste"/>
        <w:ind w:left="714"/>
        <w:jc w:val="both"/>
        <w:rPr>
          <w:rFonts w:ascii="Century Gothic" w:hAnsi="Century Gothic"/>
          <w:lang w:val="fr-FR"/>
        </w:rPr>
      </w:pPr>
    </w:p>
    <w:p w:rsidR="00444047" w:rsidRPr="002846BC" w:rsidRDefault="00D8012C" w:rsidP="00660AA6">
      <w:pPr>
        <w:ind w:left="357"/>
        <w:jc w:val="both"/>
        <w:rPr>
          <w:rFonts w:ascii="Century Gothic" w:hAnsi="Century Gothic"/>
        </w:rPr>
      </w:pPr>
      <w:r w:rsidRPr="002846BC">
        <w:rPr>
          <w:rFonts w:ascii="Century Gothic" w:hAnsi="Century Gothic"/>
          <w:lang w:val="fr-FR"/>
        </w:rPr>
        <w:t>Plusieurs autres initiatives ont été encouragées ou soutenues par la Walloni</w:t>
      </w:r>
      <w:r w:rsidR="00660AA6" w:rsidRPr="002846BC">
        <w:rPr>
          <w:rFonts w:ascii="Century Gothic" w:hAnsi="Century Gothic"/>
        </w:rPr>
        <w:t xml:space="preserve">e dans le secteur du transport groupé ou du transport doux. Citons, entre autres, </w:t>
      </w:r>
      <w:proofErr w:type="spellStart"/>
      <w:r w:rsidR="00660AA6" w:rsidRPr="002846BC">
        <w:rPr>
          <w:rFonts w:ascii="Century Gothic" w:hAnsi="Century Gothic"/>
        </w:rPr>
        <w:t>Cambio</w:t>
      </w:r>
      <w:proofErr w:type="spellEnd"/>
      <w:r w:rsidR="00660AA6" w:rsidRPr="002846BC">
        <w:rPr>
          <w:rFonts w:ascii="Century Gothic" w:hAnsi="Century Gothic"/>
        </w:rPr>
        <w:t xml:space="preserve">, </w:t>
      </w:r>
      <w:proofErr w:type="spellStart"/>
      <w:r w:rsidR="00660AA6" w:rsidRPr="002846BC">
        <w:rPr>
          <w:rFonts w:ascii="Century Gothic" w:hAnsi="Century Gothic"/>
        </w:rPr>
        <w:t>TaxiStop</w:t>
      </w:r>
      <w:proofErr w:type="spellEnd"/>
      <w:r w:rsidR="00660AA6" w:rsidRPr="002846BC">
        <w:rPr>
          <w:rFonts w:ascii="Century Gothic" w:hAnsi="Century Gothic"/>
        </w:rPr>
        <w:t xml:space="preserve">, la généralisation des parkings de covoiturage (via l’application </w:t>
      </w:r>
      <w:proofErr w:type="spellStart"/>
      <w:r w:rsidR="00660AA6" w:rsidRPr="002846BC">
        <w:rPr>
          <w:rFonts w:ascii="Century Gothic" w:hAnsi="Century Gothic"/>
        </w:rPr>
        <w:t>Comon</w:t>
      </w:r>
      <w:proofErr w:type="spellEnd"/>
      <w:r w:rsidR="00660AA6" w:rsidRPr="002846BC">
        <w:rPr>
          <w:rFonts w:ascii="Century Gothic" w:hAnsi="Century Gothic"/>
        </w:rPr>
        <w:t>), le plan Wallonie cyclable,…</w:t>
      </w:r>
    </w:p>
    <w:p w:rsidR="00A52771" w:rsidRPr="002846BC" w:rsidRDefault="00A52771" w:rsidP="00A73490">
      <w:pPr>
        <w:rPr>
          <w:rFonts w:ascii="Century Gothic" w:hAnsi="Century Gothic"/>
        </w:rPr>
      </w:pPr>
    </w:p>
    <w:p w:rsidR="00F16C65" w:rsidRPr="000D1CB1" w:rsidRDefault="000D1CB1" w:rsidP="000D1CB1">
      <w:pPr>
        <w:pStyle w:val="Titre2"/>
        <w:numPr>
          <w:ilvl w:val="1"/>
          <w:numId w:val="18"/>
        </w:numPr>
        <w:rPr>
          <w:rFonts w:ascii="Century Gothic" w:hAnsi="Century Gothic"/>
          <w:sz w:val="22"/>
          <w:szCs w:val="22"/>
        </w:rPr>
      </w:pPr>
      <w:bookmarkStart w:id="6" w:name="_Toc475972064"/>
      <w:r w:rsidRPr="000D1CB1">
        <w:rPr>
          <w:rFonts w:ascii="Century Gothic" w:hAnsi="Century Gothic"/>
          <w:sz w:val="22"/>
          <w:szCs w:val="22"/>
        </w:rPr>
        <w:t xml:space="preserve">Quelques </w:t>
      </w:r>
      <w:r w:rsidR="00F16C65" w:rsidRPr="000D1CB1">
        <w:rPr>
          <w:rFonts w:ascii="Century Gothic" w:hAnsi="Century Gothic"/>
          <w:sz w:val="22"/>
          <w:szCs w:val="22"/>
        </w:rPr>
        <w:t>Chiffres clés</w:t>
      </w:r>
      <w:bookmarkEnd w:id="6"/>
    </w:p>
    <w:p w:rsidR="00F16C65" w:rsidRPr="002846BC" w:rsidRDefault="00F16C65" w:rsidP="00A73490">
      <w:pPr>
        <w:rPr>
          <w:rFonts w:ascii="Century Gothic" w:hAnsi="Century Gothic"/>
        </w:rPr>
      </w:pPr>
    </w:p>
    <w:tbl>
      <w:tblPr>
        <w:tblStyle w:val="Grilledutableau"/>
        <w:tblpPr w:leftFromText="141" w:rightFromText="141" w:vertAnchor="text" w:horzAnchor="margin" w:tblpXSpec="right" w:tblpY="1206"/>
        <w:tblW w:w="0" w:type="auto"/>
        <w:tblLook w:val="04A0"/>
      </w:tblPr>
      <w:tblGrid>
        <w:gridCol w:w="3077"/>
        <w:gridCol w:w="1103"/>
      </w:tblGrid>
      <w:tr w:rsidR="00AA7773" w:rsidTr="00AA7773">
        <w:trPr>
          <w:trHeight w:val="417"/>
        </w:trPr>
        <w:tc>
          <w:tcPr>
            <w:tcW w:w="4180" w:type="dxa"/>
            <w:gridSpan w:val="2"/>
          </w:tcPr>
          <w:p w:rsidR="00AA7773" w:rsidRPr="003538D2" w:rsidRDefault="00AA7773" w:rsidP="00AA7773">
            <w:pPr>
              <w:rPr>
                <w:rFonts w:ascii="Century Gothic" w:hAnsi="Century Gothic"/>
                <w:b/>
                <w:sz w:val="18"/>
                <w:szCs w:val="18"/>
              </w:rPr>
            </w:pPr>
            <w:r w:rsidRPr="003538D2">
              <w:rPr>
                <w:rFonts w:ascii="Century Gothic" w:hAnsi="Century Gothic"/>
                <w:b/>
                <w:sz w:val="18"/>
                <w:szCs w:val="18"/>
              </w:rPr>
              <w:t>Répartition du parc roulant en Wallonie</w:t>
            </w:r>
          </w:p>
        </w:tc>
      </w:tr>
      <w:tr w:rsidR="00AA7773" w:rsidTr="00AA7773">
        <w:trPr>
          <w:trHeight w:val="255"/>
        </w:trPr>
        <w:tc>
          <w:tcPr>
            <w:tcW w:w="3077"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Voitures</w:t>
            </w:r>
          </w:p>
        </w:tc>
        <w:tc>
          <w:tcPr>
            <w:tcW w:w="1103"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1.768.300</w:t>
            </w:r>
          </w:p>
        </w:tc>
      </w:tr>
      <w:tr w:rsidR="00AA7773" w:rsidTr="00AA7773">
        <w:trPr>
          <w:trHeight w:val="287"/>
        </w:trPr>
        <w:tc>
          <w:tcPr>
            <w:tcW w:w="3077"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Autobus/autocars</w:t>
            </w:r>
          </w:p>
        </w:tc>
        <w:tc>
          <w:tcPr>
            <w:tcW w:w="1103"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4.921</w:t>
            </w:r>
          </w:p>
        </w:tc>
      </w:tr>
      <w:tr w:rsidR="00AA7773" w:rsidTr="00AA7773">
        <w:trPr>
          <w:trHeight w:val="263"/>
        </w:trPr>
        <w:tc>
          <w:tcPr>
            <w:tcW w:w="3077"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Camions/camionnettes</w:t>
            </w:r>
          </w:p>
        </w:tc>
        <w:tc>
          <w:tcPr>
            <w:tcW w:w="1103"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236.250</w:t>
            </w:r>
          </w:p>
        </w:tc>
      </w:tr>
      <w:tr w:rsidR="00AA7773" w:rsidTr="00AA7773">
        <w:trPr>
          <w:trHeight w:val="268"/>
        </w:trPr>
        <w:tc>
          <w:tcPr>
            <w:tcW w:w="3077"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Motos</w:t>
            </w:r>
          </w:p>
        </w:tc>
        <w:tc>
          <w:tcPr>
            <w:tcW w:w="1103" w:type="dxa"/>
          </w:tcPr>
          <w:p w:rsidR="00AA7773" w:rsidRPr="00AA7773" w:rsidRDefault="00AA7773" w:rsidP="00AA7773">
            <w:pPr>
              <w:rPr>
                <w:rFonts w:ascii="Century Gothic" w:hAnsi="Century Gothic"/>
                <w:sz w:val="20"/>
                <w:szCs w:val="20"/>
              </w:rPr>
            </w:pPr>
            <w:r w:rsidRPr="00AA7773">
              <w:rPr>
                <w:rFonts w:ascii="Century Gothic" w:hAnsi="Century Gothic"/>
                <w:sz w:val="20"/>
                <w:szCs w:val="20"/>
              </w:rPr>
              <w:t>169.961</w:t>
            </w:r>
          </w:p>
        </w:tc>
      </w:tr>
    </w:tbl>
    <w:p w:rsidR="00AA7773" w:rsidRDefault="00AA7773" w:rsidP="00B228DF">
      <w:pPr>
        <w:ind w:left="360"/>
        <w:rPr>
          <w:rFonts w:ascii="Century Gothic" w:hAnsi="Century Gothic"/>
        </w:rPr>
      </w:pPr>
      <w:r w:rsidRPr="00AA7773">
        <w:rPr>
          <w:noProof/>
          <w:lang w:eastAsia="fr-BE"/>
        </w:rPr>
        <w:drawing>
          <wp:inline distT="0" distB="0" distL="0" distR="0">
            <wp:extent cx="2875314" cy="2162175"/>
            <wp:effectExtent l="19050" t="0" r="1236"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75314" cy="2162175"/>
                    </a:xfrm>
                    <a:prstGeom prst="rect">
                      <a:avLst/>
                    </a:prstGeom>
                    <a:noFill/>
                    <a:ln w="9525">
                      <a:noFill/>
                      <a:miter lim="800000"/>
                      <a:headEnd/>
                      <a:tailEnd/>
                    </a:ln>
                  </pic:spPr>
                </pic:pic>
              </a:graphicData>
            </a:graphic>
          </wp:inline>
        </w:drawing>
      </w:r>
    </w:p>
    <w:tbl>
      <w:tblPr>
        <w:tblStyle w:val="Grilledutableau"/>
        <w:tblpPr w:leftFromText="141" w:rightFromText="141" w:vertAnchor="text" w:horzAnchor="margin" w:tblpY="410"/>
        <w:tblW w:w="0" w:type="auto"/>
        <w:tblLook w:val="04A0"/>
      </w:tblPr>
      <w:tblGrid>
        <w:gridCol w:w="1656"/>
        <w:gridCol w:w="1418"/>
      </w:tblGrid>
      <w:tr w:rsidR="00847023" w:rsidTr="00847023">
        <w:tc>
          <w:tcPr>
            <w:tcW w:w="3074" w:type="dxa"/>
            <w:gridSpan w:val="2"/>
          </w:tcPr>
          <w:p w:rsidR="00847023" w:rsidRPr="003538D2" w:rsidRDefault="00847023" w:rsidP="00847023">
            <w:pPr>
              <w:pStyle w:val="Paragraphedeliste"/>
              <w:ind w:left="0"/>
              <w:rPr>
                <w:rFonts w:ascii="Century Gothic" w:hAnsi="Century Gothic"/>
                <w:b/>
                <w:sz w:val="18"/>
                <w:szCs w:val="18"/>
                <w:lang w:val="fr-FR"/>
              </w:rPr>
            </w:pPr>
            <w:r w:rsidRPr="003538D2">
              <w:rPr>
                <w:rFonts w:ascii="Century Gothic" w:hAnsi="Century Gothic"/>
                <w:b/>
                <w:sz w:val="18"/>
                <w:szCs w:val="18"/>
                <w:lang w:val="fr-BE"/>
              </w:rPr>
              <w:t>Répartition des véhicules automobiles en fonction  des carburants </w:t>
            </w:r>
          </w:p>
        </w:tc>
      </w:tr>
      <w:tr w:rsidR="00847023" w:rsidTr="00847023">
        <w:tc>
          <w:tcPr>
            <w:tcW w:w="1656" w:type="dxa"/>
          </w:tcPr>
          <w:p w:rsidR="00847023" w:rsidRPr="006219A7" w:rsidRDefault="00847023" w:rsidP="00847023">
            <w:pPr>
              <w:rPr>
                <w:rFonts w:ascii="Century Gothic" w:hAnsi="Century Gothic"/>
                <w:sz w:val="18"/>
                <w:szCs w:val="18"/>
              </w:rPr>
            </w:pPr>
            <w:r w:rsidRPr="006219A7">
              <w:rPr>
                <w:rFonts w:ascii="Century Gothic" w:hAnsi="Century Gothic"/>
                <w:sz w:val="18"/>
                <w:szCs w:val="18"/>
              </w:rPr>
              <w:t>Essence </w:t>
            </w:r>
          </w:p>
        </w:tc>
        <w:tc>
          <w:tcPr>
            <w:tcW w:w="1418" w:type="dxa"/>
          </w:tcPr>
          <w:p w:rsidR="00847023" w:rsidRPr="006219A7" w:rsidRDefault="00847023" w:rsidP="00847023">
            <w:pPr>
              <w:pStyle w:val="Paragraphedeliste"/>
              <w:ind w:left="0"/>
              <w:rPr>
                <w:rFonts w:ascii="Century Gothic" w:hAnsi="Century Gothic"/>
                <w:sz w:val="18"/>
                <w:szCs w:val="18"/>
                <w:lang w:val="fr-FR"/>
              </w:rPr>
            </w:pPr>
            <w:r w:rsidRPr="006219A7">
              <w:rPr>
                <w:rFonts w:ascii="Century Gothic" w:hAnsi="Century Gothic"/>
                <w:sz w:val="18"/>
                <w:szCs w:val="18"/>
                <w:lang w:val="fr-FR"/>
              </w:rPr>
              <w:t>683.439</w:t>
            </w:r>
          </w:p>
        </w:tc>
      </w:tr>
      <w:tr w:rsidR="00847023" w:rsidTr="00847023">
        <w:tc>
          <w:tcPr>
            <w:tcW w:w="1656" w:type="dxa"/>
          </w:tcPr>
          <w:p w:rsidR="00847023" w:rsidRPr="006219A7" w:rsidRDefault="00847023" w:rsidP="00847023">
            <w:pPr>
              <w:pStyle w:val="Paragraphedeliste"/>
              <w:ind w:left="0"/>
              <w:rPr>
                <w:rFonts w:ascii="Century Gothic" w:hAnsi="Century Gothic"/>
                <w:sz w:val="18"/>
                <w:szCs w:val="18"/>
                <w:lang w:val="fr-BE"/>
              </w:rPr>
            </w:pPr>
            <w:r w:rsidRPr="006219A7">
              <w:rPr>
                <w:rFonts w:ascii="Century Gothic" w:hAnsi="Century Gothic"/>
                <w:sz w:val="18"/>
                <w:szCs w:val="18"/>
                <w:lang w:val="fr-BE"/>
              </w:rPr>
              <w:t>Diesel </w:t>
            </w:r>
          </w:p>
        </w:tc>
        <w:tc>
          <w:tcPr>
            <w:tcW w:w="1418" w:type="dxa"/>
          </w:tcPr>
          <w:p w:rsidR="00847023" w:rsidRPr="006219A7" w:rsidRDefault="00847023" w:rsidP="00847023">
            <w:pPr>
              <w:pStyle w:val="Paragraphedeliste"/>
              <w:ind w:left="0"/>
              <w:rPr>
                <w:rFonts w:ascii="Century Gothic" w:hAnsi="Century Gothic"/>
                <w:sz w:val="18"/>
                <w:szCs w:val="18"/>
                <w:lang w:val="fr-FR"/>
              </w:rPr>
            </w:pPr>
            <w:r w:rsidRPr="006219A7">
              <w:rPr>
                <w:rFonts w:ascii="Century Gothic" w:hAnsi="Century Gothic"/>
                <w:sz w:val="18"/>
                <w:szCs w:val="18"/>
                <w:lang w:val="fr-FR"/>
              </w:rPr>
              <w:t>1.060.850</w:t>
            </w:r>
          </w:p>
        </w:tc>
      </w:tr>
      <w:tr w:rsidR="00847023" w:rsidTr="00847023">
        <w:tc>
          <w:tcPr>
            <w:tcW w:w="1656" w:type="dxa"/>
          </w:tcPr>
          <w:p w:rsidR="00847023" w:rsidRPr="006219A7" w:rsidRDefault="00847023" w:rsidP="00847023">
            <w:pPr>
              <w:pStyle w:val="Paragraphedeliste"/>
              <w:ind w:left="0"/>
              <w:rPr>
                <w:rFonts w:ascii="Century Gothic" w:hAnsi="Century Gothic"/>
                <w:sz w:val="18"/>
                <w:szCs w:val="18"/>
                <w:lang w:val="fr-BE"/>
              </w:rPr>
            </w:pPr>
            <w:r w:rsidRPr="006219A7">
              <w:rPr>
                <w:rFonts w:ascii="Century Gothic" w:hAnsi="Century Gothic"/>
                <w:sz w:val="18"/>
                <w:szCs w:val="18"/>
                <w:lang w:val="fr-BE"/>
              </w:rPr>
              <w:t>LPG </w:t>
            </w:r>
          </w:p>
        </w:tc>
        <w:tc>
          <w:tcPr>
            <w:tcW w:w="1418" w:type="dxa"/>
          </w:tcPr>
          <w:p w:rsidR="00847023" w:rsidRPr="006219A7" w:rsidRDefault="00847023" w:rsidP="00847023">
            <w:pPr>
              <w:pStyle w:val="Paragraphedeliste"/>
              <w:ind w:left="0"/>
              <w:rPr>
                <w:rFonts w:ascii="Century Gothic" w:hAnsi="Century Gothic"/>
                <w:sz w:val="18"/>
                <w:szCs w:val="18"/>
                <w:lang w:val="fr-FR"/>
              </w:rPr>
            </w:pPr>
            <w:r w:rsidRPr="006219A7">
              <w:rPr>
                <w:rFonts w:ascii="Century Gothic" w:hAnsi="Century Gothic"/>
                <w:sz w:val="18"/>
                <w:szCs w:val="18"/>
                <w:lang w:val="fr-FR"/>
              </w:rPr>
              <w:t>5.180</w:t>
            </w:r>
          </w:p>
        </w:tc>
      </w:tr>
      <w:tr w:rsidR="00847023" w:rsidTr="00847023">
        <w:tc>
          <w:tcPr>
            <w:tcW w:w="1656" w:type="dxa"/>
          </w:tcPr>
          <w:p w:rsidR="00847023" w:rsidRPr="006219A7" w:rsidRDefault="00847023" w:rsidP="00847023">
            <w:pPr>
              <w:pStyle w:val="Paragraphedeliste"/>
              <w:ind w:left="0"/>
              <w:rPr>
                <w:rFonts w:ascii="Century Gothic" w:hAnsi="Century Gothic"/>
                <w:sz w:val="18"/>
                <w:szCs w:val="18"/>
                <w:lang w:val="fr-BE"/>
              </w:rPr>
            </w:pPr>
            <w:r w:rsidRPr="006219A7">
              <w:rPr>
                <w:rFonts w:ascii="Century Gothic" w:hAnsi="Century Gothic"/>
                <w:sz w:val="18"/>
                <w:szCs w:val="18"/>
                <w:lang w:val="fr-BE"/>
              </w:rPr>
              <w:t>Electrique </w:t>
            </w:r>
          </w:p>
        </w:tc>
        <w:tc>
          <w:tcPr>
            <w:tcW w:w="1418" w:type="dxa"/>
          </w:tcPr>
          <w:p w:rsidR="00847023" w:rsidRPr="006219A7" w:rsidRDefault="00847023" w:rsidP="00847023">
            <w:pPr>
              <w:pStyle w:val="Paragraphedeliste"/>
              <w:ind w:left="0"/>
              <w:rPr>
                <w:rFonts w:ascii="Century Gothic" w:hAnsi="Century Gothic"/>
                <w:sz w:val="18"/>
                <w:szCs w:val="18"/>
                <w:lang w:val="fr-FR"/>
              </w:rPr>
            </w:pPr>
            <w:r w:rsidRPr="006219A7">
              <w:rPr>
                <w:rFonts w:ascii="Century Gothic" w:hAnsi="Century Gothic"/>
                <w:sz w:val="18"/>
                <w:szCs w:val="18"/>
                <w:lang w:val="fr-FR"/>
              </w:rPr>
              <w:t>667</w:t>
            </w:r>
          </w:p>
        </w:tc>
      </w:tr>
      <w:tr w:rsidR="00847023" w:rsidTr="00847023">
        <w:tc>
          <w:tcPr>
            <w:tcW w:w="1656" w:type="dxa"/>
          </w:tcPr>
          <w:p w:rsidR="00847023" w:rsidRPr="006219A7" w:rsidRDefault="00847023" w:rsidP="00847023">
            <w:pPr>
              <w:pStyle w:val="Paragraphedeliste"/>
              <w:ind w:left="0"/>
              <w:rPr>
                <w:rFonts w:ascii="Century Gothic" w:hAnsi="Century Gothic"/>
                <w:sz w:val="18"/>
                <w:szCs w:val="18"/>
                <w:lang w:val="fr-BE"/>
              </w:rPr>
            </w:pPr>
            <w:r w:rsidRPr="006219A7">
              <w:rPr>
                <w:rFonts w:ascii="Century Gothic" w:hAnsi="Century Gothic"/>
                <w:sz w:val="18"/>
                <w:szCs w:val="18"/>
                <w:lang w:val="fr-BE"/>
              </w:rPr>
              <w:t>Autres </w:t>
            </w:r>
          </w:p>
        </w:tc>
        <w:tc>
          <w:tcPr>
            <w:tcW w:w="1418" w:type="dxa"/>
          </w:tcPr>
          <w:p w:rsidR="00847023" w:rsidRPr="006219A7" w:rsidRDefault="00847023" w:rsidP="00847023">
            <w:pPr>
              <w:pStyle w:val="Paragraphedeliste"/>
              <w:ind w:left="0"/>
              <w:rPr>
                <w:rFonts w:ascii="Century Gothic" w:hAnsi="Century Gothic"/>
                <w:sz w:val="18"/>
                <w:szCs w:val="18"/>
                <w:lang w:val="fr-FR"/>
              </w:rPr>
            </w:pPr>
            <w:r w:rsidRPr="006219A7">
              <w:rPr>
                <w:rFonts w:ascii="Century Gothic" w:hAnsi="Century Gothic"/>
                <w:sz w:val="18"/>
                <w:szCs w:val="18"/>
                <w:lang w:val="fr-FR"/>
              </w:rPr>
              <w:t>18.164</w:t>
            </w:r>
          </w:p>
        </w:tc>
      </w:tr>
    </w:tbl>
    <w:p w:rsidR="00B228DF" w:rsidRDefault="00B228DF" w:rsidP="006219A7">
      <w:pPr>
        <w:ind w:left="360"/>
        <w:jc w:val="right"/>
        <w:rPr>
          <w:rFonts w:ascii="Century Gothic" w:hAnsi="Century Gothic"/>
        </w:rPr>
      </w:pPr>
    </w:p>
    <w:p w:rsidR="00B228DF" w:rsidRDefault="006219A7" w:rsidP="006219A7">
      <w:pPr>
        <w:ind w:left="360"/>
        <w:jc w:val="right"/>
        <w:rPr>
          <w:rFonts w:ascii="Century Gothic" w:hAnsi="Century Gothic"/>
        </w:rPr>
      </w:pPr>
      <w:r w:rsidRPr="006219A7">
        <w:rPr>
          <w:noProof/>
          <w:lang w:eastAsia="fr-BE"/>
        </w:rPr>
        <w:drawing>
          <wp:inline distT="0" distB="0" distL="0" distR="0">
            <wp:extent cx="2807688" cy="1839295"/>
            <wp:effectExtent l="1905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807688" cy="1839295"/>
                    </a:xfrm>
                    <a:prstGeom prst="rect">
                      <a:avLst/>
                    </a:prstGeom>
                    <a:noFill/>
                    <a:ln w="9525">
                      <a:noFill/>
                      <a:miter lim="800000"/>
                      <a:headEnd/>
                      <a:tailEnd/>
                    </a:ln>
                  </pic:spPr>
                </pic:pic>
              </a:graphicData>
            </a:graphic>
          </wp:inline>
        </w:drawing>
      </w:r>
    </w:p>
    <w:tbl>
      <w:tblPr>
        <w:tblStyle w:val="Grilledutableau"/>
        <w:tblpPr w:leftFromText="141" w:rightFromText="141" w:vertAnchor="text" w:horzAnchor="margin" w:tblpXSpec="right" w:tblpY="205"/>
        <w:tblW w:w="0" w:type="auto"/>
        <w:tblLook w:val="04A0"/>
      </w:tblPr>
      <w:tblGrid>
        <w:gridCol w:w="1773"/>
        <w:gridCol w:w="1842"/>
      </w:tblGrid>
      <w:tr w:rsidR="00B4217C" w:rsidTr="00B4217C">
        <w:tc>
          <w:tcPr>
            <w:tcW w:w="3615" w:type="dxa"/>
            <w:gridSpan w:val="2"/>
          </w:tcPr>
          <w:p w:rsidR="00B4217C" w:rsidRPr="003538D2" w:rsidRDefault="00B4217C" w:rsidP="00B4217C">
            <w:pPr>
              <w:rPr>
                <w:rFonts w:ascii="Century Gothic" w:hAnsi="Century Gothic"/>
                <w:b/>
                <w:sz w:val="18"/>
                <w:szCs w:val="18"/>
              </w:rPr>
            </w:pPr>
            <w:r w:rsidRPr="003538D2">
              <w:rPr>
                <w:rFonts w:ascii="Century Gothic" w:hAnsi="Century Gothic"/>
                <w:b/>
                <w:sz w:val="18"/>
                <w:szCs w:val="18"/>
                <w:lang w:val="fr-FR"/>
              </w:rPr>
              <w:t>Distances routières parcourues par type de véhicule (en milliards de km)</w:t>
            </w:r>
          </w:p>
        </w:tc>
      </w:tr>
      <w:tr w:rsidR="00B4217C" w:rsidTr="008E54CC">
        <w:trPr>
          <w:trHeight w:val="253"/>
        </w:trPr>
        <w:tc>
          <w:tcPr>
            <w:tcW w:w="1773" w:type="dxa"/>
          </w:tcPr>
          <w:p w:rsidR="00B4217C" w:rsidRPr="003538D2" w:rsidRDefault="00B4217C" w:rsidP="008E54CC">
            <w:pPr>
              <w:rPr>
                <w:rFonts w:ascii="Century Gothic" w:hAnsi="Century Gothic"/>
                <w:sz w:val="18"/>
                <w:szCs w:val="18"/>
              </w:rPr>
            </w:pPr>
            <w:r w:rsidRPr="003538D2">
              <w:rPr>
                <w:rFonts w:ascii="Century Gothic" w:hAnsi="Century Gothic"/>
                <w:sz w:val="18"/>
                <w:szCs w:val="18"/>
                <w:lang w:val="fr-FR"/>
              </w:rPr>
              <w:t>Motocyclette </w:t>
            </w:r>
            <w:r w:rsidRPr="003538D2">
              <w:rPr>
                <w:rFonts w:ascii="Century Gothic" w:hAnsi="Century Gothic"/>
                <w:sz w:val="18"/>
                <w:szCs w:val="18"/>
                <w:lang w:val="fr-FR"/>
              </w:rPr>
              <w:tab/>
            </w:r>
            <w:r w:rsidRPr="003538D2">
              <w:rPr>
                <w:rFonts w:ascii="Century Gothic" w:hAnsi="Century Gothic"/>
                <w:sz w:val="18"/>
                <w:szCs w:val="18"/>
                <w:lang w:val="fr-FR"/>
              </w:rPr>
              <w:tab/>
            </w:r>
          </w:p>
        </w:tc>
        <w:tc>
          <w:tcPr>
            <w:tcW w:w="1842"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rPr>
              <w:t>1.25</w:t>
            </w:r>
          </w:p>
        </w:tc>
      </w:tr>
      <w:tr w:rsidR="00B4217C" w:rsidTr="00B4217C">
        <w:tc>
          <w:tcPr>
            <w:tcW w:w="1773"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lang w:val="fr-FR"/>
              </w:rPr>
              <w:t>Voiture particulière </w:t>
            </w:r>
          </w:p>
        </w:tc>
        <w:tc>
          <w:tcPr>
            <w:tcW w:w="1842"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rPr>
              <w:t>80.37</w:t>
            </w:r>
          </w:p>
        </w:tc>
      </w:tr>
      <w:tr w:rsidR="00B4217C" w:rsidTr="00B4217C">
        <w:tc>
          <w:tcPr>
            <w:tcW w:w="1773"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lang w:val="fr-FR"/>
              </w:rPr>
              <w:t>Véhicule utilitaire léger </w:t>
            </w:r>
          </w:p>
        </w:tc>
        <w:tc>
          <w:tcPr>
            <w:tcW w:w="1842"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rPr>
              <w:t>10.65</w:t>
            </w:r>
          </w:p>
        </w:tc>
      </w:tr>
      <w:tr w:rsidR="00B4217C" w:rsidTr="00B4217C">
        <w:tc>
          <w:tcPr>
            <w:tcW w:w="1773"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lang w:val="fr-FR"/>
              </w:rPr>
              <w:t>Camion </w:t>
            </w:r>
          </w:p>
        </w:tc>
        <w:tc>
          <w:tcPr>
            <w:tcW w:w="1842"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rPr>
              <w:t>8.69</w:t>
            </w:r>
          </w:p>
        </w:tc>
      </w:tr>
      <w:tr w:rsidR="00B4217C" w:rsidTr="00B4217C">
        <w:tc>
          <w:tcPr>
            <w:tcW w:w="1773"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lang w:val="fr-FR"/>
              </w:rPr>
              <w:t>Autobus/autocar </w:t>
            </w:r>
          </w:p>
        </w:tc>
        <w:tc>
          <w:tcPr>
            <w:tcW w:w="1842"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rPr>
              <w:t>0.96</w:t>
            </w:r>
          </w:p>
        </w:tc>
      </w:tr>
      <w:tr w:rsidR="00B4217C" w:rsidTr="00B4217C">
        <w:tc>
          <w:tcPr>
            <w:tcW w:w="1773"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lang w:val="fr-FR"/>
              </w:rPr>
              <w:t>Véhicule spécial </w:t>
            </w:r>
          </w:p>
        </w:tc>
        <w:tc>
          <w:tcPr>
            <w:tcW w:w="1842" w:type="dxa"/>
          </w:tcPr>
          <w:p w:rsidR="00B4217C" w:rsidRPr="003538D2" w:rsidRDefault="00B4217C" w:rsidP="00B4217C">
            <w:pPr>
              <w:rPr>
                <w:rFonts w:ascii="Century Gothic" w:hAnsi="Century Gothic"/>
                <w:sz w:val="18"/>
                <w:szCs w:val="18"/>
              </w:rPr>
            </w:pPr>
            <w:r w:rsidRPr="003538D2">
              <w:rPr>
                <w:rFonts w:ascii="Century Gothic" w:hAnsi="Century Gothic"/>
                <w:sz w:val="18"/>
                <w:szCs w:val="18"/>
              </w:rPr>
              <w:t>0.51</w:t>
            </w:r>
          </w:p>
        </w:tc>
      </w:tr>
    </w:tbl>
    <w:p w:rsidR="00B228DF" w:rsidRDefault="00B4217C" w:rsidP="00B228DF">
      <w:pPr>
        <w:ind w:left="360"/>
        <w:rPr>
          <w:rFonts w:ascii="Century Gothic" w:hAnsi="Century Gothic"/>
        </w:rPr>
      </w:pPr>
      <w:r w:rsidRPr="00B4217C">
        <w:rPr>
          <w:rFonts w:ascii="Century Gothic" w:hAnsi="Century Gothic"/>
          <w:noProof/>
          <w:lang w:eastAsia="fr-BE"/>
        </w:rPr>
        <w:drawing>
          <wp:inline distT="0" distB="0" distL="0" distR="0">
            <wp:extent cx="3067926" cy="2009775"/>
            <wp:effectExtent l="19050" t="0" r="0" b="0"/>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067926" cy="2009775"/>
                    </a:xfrm>
                    <a:prstGeom prst="rect">
                      <a:avLst/>
                    </a:prstGeom>
                    <a:noFill/>
                    <a:ln w="9525">
                      <a:noFill/>
                      <a:miter lim="800000"/>
                      <a:headEnd/>
                      <a:tailEnd/>
                    </a:ln>
                  </pic:spPr>
                </pic:pic>
              </a:graphicData>
            </a:graphic>
          </wp:inline>
        </w:drawing>
      </w:r>
    </w:p>
    <w:p w:rsidR="00847023" w:rsidRDefault="00847023" w:rsidP="00847023">
      <w:pPr>
        <w:pStyle w:val="Paragraphedeliste"/>
        <w:rPr>
          <w:rFonts w:ascii="Century Gothic" w:hAnsi="Century Gothic"/>
          <w:lang w:val="fr-FR"/>
        </w:rPr>
      </w:pPr>
    </w:p>
    <w:p w:rsidR="00847023" w:rsidRDefault="00847023" w:rsidP="00847023">
      <w:pPr>
        <w:pStyle w:val="Paragraphedeliste"/>
        <w:rPr>
          <w:rFonts w:ascii="Century Gothic" w:hAnsi="Century Gothic"/>
          <w:lang w:val="fr-FR"/>
        </w:rPr>
      </w:pPr>
    </w:p>
    <w:p w:rsidR="00847023" w:rsidRDefault="00847023" w:rsidP="00847023">
      <w:pPr>
        <w:pStyle w:val="Paragraphedeliste"/>
        <w:rPr>
          <w:rFonts w:ascii="Century Gothic" w:hAnsi="Century Gothic"/>
          <w:lang w:val="fr-FR"/>
        </w:rPr>
      </w:pPr>
    </w:p>
    <w:p w:rsidR="00A04B7D" w:rsidRPr="00407582" w:rsidRDefault="00F472A1" w:rsidP="00407582">
      <w:pPr>
        <w:rPr>
          <w:rFonts w:ascii="Century Gothic" w:hAnsi="Century Gothic"/>
          <w:lang w:val="fr-FR"/>
        </w:rPr>
      </w:pPr>
      <w:r w:rsidRPr="00407582">
        <w:rPr>
          <w:rFonts w:ascii="Century Gothic" w:hAnsi="Century Gothic"/>
          <w:lang w:val="fr-FR"/>
        </w:rPr>
        <w:t xml:space="preserve">Part modale suivant la </w:t>
      </w:r>
      <w:r w:rsidR="00640244" w:rsidRPr="00407582">
        <w:rPr>
          <w:rFonts w:ascii="Century Gothic" w:hAnsi="Century Gothic"/>
          <w:lang w:val="fr-FR"/>
        </w:rPr>
        <w:t>Région (selon BELDAM)</w:t>
      </w:r>
    </w:p>
    <w:p w:rsidR="00640244" w:rsidRPr="002846BC" w:rsidRDefault="00640244" w:rsidP="00640244">
      <w:pPr>
        <w:pStyle w:val="Paragraphedeliste"/>
        <w:jc w:val="center"/>
        <w:rPr>
          <w:rFonts w:ascii="Century Gothic" w:hAnsi="Century Gothic"/>
        </w:rPr>
      </w:pPr>
      <w:r w:rsidRPr="002846BC">
        <w:rPr>
          <w:rFonts w:ascii="Century Gothic" w:hAnsi="Century Gothic"/>
          <w:noProof/>
          <w:lang w:val="fr-BE" w:eastAsia="fr-BE"/>
        </w:rPr>
        <w:lastRenderedPageBreak/>
        <w:drawing>
          <wp:inline distT="0" distB="0" distL="0" distR="0">
            <wp:extent cx="3752850" cy="2253709"/>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757095" cy="2256258"/>
                    </a:xfrm>
                    <a:prstGeom prst="rect">
                      <a:avLst/>
                    </a:prstGeom>
                    <a:noFill/>
                    <a:ln w="9525">
                      <a:noFill/>
                      <a:miter lim="800000"/>
                      <a:headEnd/>
                      <a:tailEnd/>
                    </a:ln>
                  </pic:spPr>
                </pic:pic>
              </a:graphicData>
            </a:graphic>
          </wp:inline>
        </w:drawing>
      </w:r>
    </w:p>
    <w:p w:rsidR="00D26BDA" w:rsidRDefault="00D26BDA">
      <w:pPr>
        <w:rPr>
          <w:rFonts w:ascii="Century Gothic" w:hAnsi="Century Gothic"/>
        </w:rPr>
      </w:pPr>
      <w:r>
        <w:rPr>
          <w:rFonts w:ascii="Century Gothic" w:hAnsi="Century Gothic"/>
        </w:rPr>
        <w:br w:type="page"/>
      </w:r>
    </w:p>
    <w:p w:rsidR="00B05165" w:rsidRPr="002846BC" w:rsidRDefault="00B05165" w:rsidP="007E3B50">
      <w:pPr>
        <w:rPr>
          <w:rFonts w:ascii="Century Gothic" w:hAnsi="Century Gothic"/>
        </w:rPr>
      </w:pPr>
    </w:p>
    <w:p w:rsidR="007A5B20" w:rsidRPr="00AB5755" w:rsidRDefault="00756CB3" w:rsidP="00A2660F">
      <w:pPr>
        <w:pStyle w:val="Titre1"/>
        <w:numPr>
          <w:ilvl w:val="0"/>
          <w:numId w:val="18"/>
        </w:numPr>
        <w:rPr>
          <w:rFonts w:ascii="Century Gothic" w:hAnsi="Century Gothic"/>
          <w:sz w:val="22"/>
          <w:szCs w:val="22"/>
        </w:rPr>
      </w:pPr>
      <w:bookmarkStart w:id="7" w:name="_Toc475972065"/>
      <w:r w:rsidRPr="00AB5755">
        <w:rPr>
          <w:rFonts w:ascii="Century Gothic" w:hAnsi="Century Gothic"/>
          <w:sz w:val="22"/>
          <w:szCs w:val="22"/>
        </w:rPr>
        <w:t>Questionnaire</w:t>
      </w:r>
      <w:bookmarkEnd w:id="7"/>
    </w:p>
    <w:p w:rsidR="00756CB3" w:rsidRPr="002846BC" w:rsidRDefault="00756CB3" w:rsidP="007A5B20">
      <w:pPr>
        <w:rPr>
          <w:rFonts w:ascii="Century Gothic" w:hAnsi="Century Gothic"/>
        </w:rPr>
      </w:pPr>
    </w:p>
    <w:p w:rsidR="00906338" w:rsidRPr="002846BC" w:rsidRDefault="00906338" w:rsidP="00906338">
      <w:pPr>
        <w:pStyle w:val="Paragraphedeliste"/>
        <w:numPr>
          <w:ilvl w:val="0"/>
          <w:numId w:val="6"/>
        </w:numPr>
        <w:jc w:val="both"/>
        <w:rPr>
          <w:rFonts w:ascii="Century Gothic" w:hAnsi="Century Gothic"/>
          <w:lang w:val="fr-FR"/>
        </w:rPr>
      </w:pPr>
      <w:r w:rsidRPr="002846BC">
        <w:rPr>
          <w:rFonts w:ascii="Century Gothic" w:hAnsi="Century Gothic"/>
          <w:u w:val="single"/>
          <w:lang w:val="fr-FR"/>
        </w:rPr>
        <w:t>Les besoins en mobilité</w:t>
      </w:r>
      <w:r w:rsidRPr="002846BC">
        <w:rPr>
          <w:rFonts w:ascii="Century Gothic" w:hAnsi="Century Gothic"/>
          <w:lang w:val="fr-FR"/>
        </w:rPr>
        <w:t xml:space="preserve">. </w:t>
      </w:r>
    </w:p>
    <w:p w:rsidR="00906338" w:rsidRPr="002846BC" w:rsidRDefault="00906338"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Quels investissements</w:t>
      </w:r>
      <w:r w:rsidR="00831CC5" w:rsidRPr="002846BC">
        <w:rPr>
          <w:rFonts w:ascii="Century Gothic" w:hAnsi="Century Gothic"/>
          <w:lang w:val="fr-FR"/>
        </w:rPr>
        <w:t xml:space="preserve"> sembl</w:t>
      </w:r>
      <w:r w:rsidRPr="002846BC">
        <w:rPr>
          <w:rFonts w:ascii="Century Gothic" w:hAnsi="Century Gothic"/>
          <w:lang w:val="fr-FR"/>
        </w:rPr>
        <w:t>ent nécessaires pour améliorer l’offre en transports en communs ?</w:t>
      </w:r>
    </w:p>
    <w:p w:rsidR="00906338" w:rsidRPr="002846BC" w:rsidRDefault="00906338"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Comment éviter le « tout à la voiture » dans le transport routier ?</w:t>
      </w:r>
    </w:p>
    <w:p w:rsidR="00906338" w:rsidRPr="002846BC" w:rsidRDefault="00906338"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Comment rendre l’usage du vélo plus attractif et/ou l’inciter pour les courts déplacements ?</w:t>
      </w:r>
    </w:p>
    <w:p w:rsidR="00906338" w:rsidRPr="002846BC" w:rsidRDefault="00A2660F" w:rsidP="000F4E61">
      <w:pPr>
        <w:pStyle w:val="Paragraphedeliste"/>
        <w:numPr>
          <w:ilvl w:val="1"/>
          <w:numId w:val="23"/>
        </w:numPr>
        <w:jc w:val="both"/>
        <w:rPr>
          <w:rFonts w:ascii="Century Gothic" w:hAnsi="Century Gothic"/>
          <w:lang w:val="fr-FR"/>
        </w:rPr>
      </w:pPr>
      <w:r>
        <w:rPr>
          <w:rFonts w:ascii="Century Gothic" w:hAnsi="Century Gothic"/>
          <w:lang w:val="fr-FR"/>
        </w:rPr>
        <w:t xml:space="preserve">Comment inciter à l’abandon de la </w:t>
      </w:r>
      <w:r w:rsidR="00906338" w:rsidRPr="002846BC">
        <w:rPr>
          <w:rFonts w:ascii="Century Gothic" w:hAnsi="Century Gothic"/>
          <w:lang w:val="fr-FR"/>
        </w:rPr>
        <w:t>voiture individuelle</w:t>
      </w:r>
      <w:r>
        <w:rPr>
          <w:rFonts w:ascii="Century Gothic" w:hAnsi="Century Gothic"/>
          <w:lang w:val="fr-FR"/>
        </w:rPr>
        <w:t xml:space="preserve"> au profit d’</w:t>
      </w:r>
      <w:r w:rsidR="00906338" w:rsidRPr="002846BC">
        <w:rPr>
          <w:rFonts w:ascii="Century Gothic" w:hAnsi="Century Gothic"/>
          <w:lang w:val="fr-FR"/>
        </w:rPr>
        <w:t>un système de voitures partagées ?</w:t>
      </w:r>
    </w:p>
    <w:p w:rsidR="00906338" w:rsidRPr="002846BC" w:rsidRDefault="00906338"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 xml:space="preserve">Le covoiturage est-il une mesure aisément généralisable ? </w:t>
      </w:r>
    </w:p>
    <w:p w:rsidR="00831CC5" w:rsidRPr="002846BC" w:rsidRDefault="00831CC5"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Quels modèles alternatifs méritent d’être mis en avant ou mériteraient d’être généralisés ?</w:t>
      </w:r>
    </w:p>
    <w:p w:rsidR="00831CC5" w:rsidRPr="002846BC" w:rsidRDefault="00906338" w:rsidP="00906338">
      <w:pPr>
        <w:pStyle w:val="Paragraphedeliste"/>
        <w:numPr>
          <w:ilvl w:val="0"/>
          <w:numId w:val="6"/>
        </w:numPr>
        <w:jc w:val="both"/>
        <w:rPr>
          <w:rFonts w:ascii="Century Gothic" w:hAnsi="Century Gothic"/>
          <w:lang w:val="fr-FR"/>
        </w:rPr>
      </w:pPr>
      <w:r w:rsidRPr="002846BC">
        <w:rPr>
          <w:rFonts w:ascii="Century Gothic" w:hAnsi="Century Gothic"/>
          <w:u w:val="single"/>
          <w:lang w:val="fr-FR"/>
        </w:rPr>
        <w:t>L’usage des technologies de l’information et de la communication</w:t>
      </w:r>
      <w:r w:rsidRPr="002846BC">
        <w:rPr>
          <w:rFonts w:ascii="Century Gothic" w:hAnsi="Century Gothic"/>
          <w:lang w:val="fr-FR"/>
        </w:rPr>
        <w:t xml:space="preserve">. </w:t>
      </w:r>
    </w:p>
    <w:p w:rsidR="00831CC5" w:rsidRPr="000F4E61" w:rsidRDefault="00831CC5" w:rsidP="000F4E61">
      <w:pPr>
        <w:pStyle w:val="Paragraphedeliste"/>
        <w:numPr>
          <w:ilvl w:val="1"/>
          <w:numId w:val="23"/>
        </w:numPr>
        <w:jc w:val="both"/>
        <w:rPr>
          <w:rFonts w:ascii="Century Gothic" w:hAnsi="Century Gothic"/>
          <w:lang w:val="fr-FR"/>
        </w:rPr>
      </w:pPr>
      <w:r w:rsidRPr="000F4E61">
        <w:rPr>
          <w:rFonts w:ascii="Century Gothic" w:hAnsi="Century Gothic"/>
          <w:lang w:val="fr-FR"/>
        </w:rPr>
        <w:t>Qu’attendez-vous des TIC</w:t>
      </w:r>
      <w:r w:rsidR="00820D19">
        <w:rPr>
          <w:rStyle w:val="Appelnotedebasdep"/>
          <w:rFonts w:ascii="Century Gothic" w:hAnsi="Century Gothic"/>
          <w:lang w:val="fr-FR"/>
        </w:rPr>
        <w:footnoteReference w:id="1"/>
      </w:r>
      <w:r w:rsidRPr="000F4E61">
        <w:rPr>
          <w:rFonts w:ascii="Century Gothic" w:hAnsi="Century Gothic"/>
          <w:lang w:val="fr-FR"/>
        </w:rPr>
        <w:t xml:space="preserve"> dans l’amélioration des flux de transport ?</w:t>
      </w:r>
    </w:p>
    <w:p w:rsidR="002C5481" w:rsidRPr="002846BC" w:rsidRDefault="00A2660F" w:rsidP="000F4E61">
      <w:pPr>
        <w:pStyle w:val="Paragraphedeliste"/>
        <w:numPr>
          <w:ilvl w:val="1"/>
          <w:numId w:val="23"/>
        </w:numPr>
        <w:jc w:val="both"/>
        <w:rPr>
          <w:rFonts w:ascii="Century Gothic" w:hAnsi="Century Gothic"/>
          <w:lang w:val="fr-FR"/>
        </w:rPr>
      </w:pPr>
      <w:r>
        <w:rPr>
          <w:rFonts w:ascii="Century Gothic" w:hAnsi="Century Gothic"/>
          <w:lang w:val="fr-FR"/>
        </w:rPr>
        <w:t>Q</w:t>
      </w:r>
      <w:r w:rsidR="00831CC5" w:rsidRPr="002846BC">
        <w:rPr>
          <w:rFonts w:ascii="Century Gothic" w:hAnsi="Century Gothic"/>
          <w:lang w:val="fr-FR"/>
        </w:rPr>
        <w:t xml:space="preserve">uels </w:t>
      </w:r>
      <w:r>
        <w:rPr>
          <w:rFonts w:ascii="Century Gothic" w:hAnsi="Century Gothic"/>
          <w:lang w:val="fr-FR"/>
        </w:rPr>
        <w:t xml:space="preserve">sont, selon vous, les </w:t>
      </w:r>
      <w:r w:rsidR="00831CC5" w:rsidRPr="002846BC">
        <w:rPr>
          <w:rFonts w:ascii="Century Gothic" w:hAnsi="Century Gothic"/>
          <w:lang w:val="fr-FR"/>
        </w:rPr>
        <w:t>avantages</w:t>
      </w:r>
      <w:r>
        <w:rPr>
          <w:rFonts w:ascii="Century Gothic" w:hAnsi="Century Gothic"/>
          <w:lang w:val="fr-FR"/>
        </w:rPr>
        <w:t xml:space="preserve"> de la mise en place de ce type de technologies</w:t>
      </w:r>
      <w:r w:rsidR="00831CC5" w:rsidRPr="002846BC">
        <w:rPr>
          <w:rFonts w:ascii="Century Gothic" w:hAnsi="Century Gothic"/>
          <w:lang w:val="fr-FR"/>
        </w:rPr>
        <w:t xml:space="preserve"> ? </w:t>
      </w:r>
    </w:p>
    <w:p w:rsidR="00906338" w:rsidRPr="002846BC" w:rsidRDefault="002C5481"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Estimez-vous que la généralisa</w:t>
      </w:r>
      <w:r w:rsidR="00CE5BC8">
        <w:rPr>
          <w:rFonts w:ascii="Century Gothic" w:hAnsi="Century Gothic"/>
          <w:lang w:val="fr-FR"/>
        </w:rPr>
        <w:t xml:space="preserve">tion des TIC </w:t>
      </w:r>
      <w:proofErr w:type="gramStart"/>
      <w:r w:rsidR="00CE5BC8">
        <w:rPr>
          <w:rFonts w:ascii="Century Gothic" w:hAnsi="Century Gothic"/>
          <w:lang w:val="fr-FR"/>
        </w:rPr>
        <w:t>est</w:t>
      </w:r>
      <w:proofErr w:type="gramEnd"/>
      <w:r w:rsidR="00CE5BC8">
        <w:rPr>
          <w:rFonts w:ascii="Century Gothic" w:hAnsi="Century Gothic"/>
          <w:lang w:val="fr-FR"/>
        </w:rPr>
        <w:t xml:space="preserve"> une solution sû</w:t>
      </w:r>
      <w:r w:rsidRPr="002846BC">
        <w:rPr>
          <w:rFonts w:ascii="Century Gothic" w:hAnsi="Century Gothic"/>
          <w:lang w:val="fr-FR"/>
        </w:rPr>
        <w:t>re et durable ?</w:t>
      </w:r>
    </w:p>
    <w:p w:rsidR="000D39CE" w:rsidRPr="002846BC" w:rsidRDefault="00906338" w:rsidP="00906338">
      <w:pPr>
        <w:pStyle w:val="Paragraphedeliste"/>
        <w:numPr>
          <w:ilvl w:val="0"/>
          <w:numId w:val="6"/>
        </w:numPr>
        <w:jc w:val="both"/>
        <w:rPr>
          <w:rFonts w:ascii="Century Gothic" w:hAnsi="Century Gothic"/>
          <w:lang w:val="fr-FR"/>
        </w:rPr>
      </w:pPr>
      <w:r w:rsidRPr="002846BC">
        <w:rPr>
          <w:rFonts w:ascii="Century Gothic" w:hAnsi="Century Gothic"/>
          <w:u w:val="single"/>
          <w:lang w:val="fr-FR"/>
        </w:rPr>
        <w:t>Les carburants alternatifs ou de substitution</w:t>
      </w:r>
      <w:r w:rsidRPr="002846BC">
        <w:rPr>
          <w:rFonts w:ascii="Century Gothic" w:hAnsi="Century Gothic"/>
          <w:lang w:val="fr-FR"/>
        </w:rPr>
        <w:t xml:space="preserve">. </w:t>
      </w:r>
    </w:p>
    <w:p w:rsidR="000D39CE" w:rsidRPr="002846BC" w:rsidRDefault="000D39CE"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Estimez-vous que le gaz naturel soit une solution d’avenir ?</w:t>
      </w:r>
    </w:p>
    <w:p w:rsidR="000D39CE" w:rsidRPr="002846BC" w:rsidRDefault="000D39CE"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Quels sont les risques et les opportunités liés aux carburants alternatifs ?</w:t>
      </w:r>
    </w:p>
    <w:p w:rsidR="000D39CE" w:rsidRPr="002846BC" w:rsidRDefault="000D39CE"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 xml:space="preserve">Quelles solutions vous semblent les mieux adaptés pour le secteur logistique ou le transport de personnes ? </w:t>
      </w:r>
    </w:p>
    <w:p w:rsidR="000D39CE" w:rsidRDefault="000D39CE"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Quelles mesures devraient être prises afin d’améliorer le développement de ces technologies de substitution ?</w:t>
      </w:r>
    </w:p>
    <w:p w:rsidR="00F20228" w:rsidRDefault="00F20228" w:rsidP="000F4E61">
      <w:pPr>
        <w:pStyle w:val="Paragraphedeliste"/>
        <w:numPr>
          <w:ilvl w:val="1"/>
          <w:numId w:val="23"/>
        </w:numPr>
        <w:jc w:val="both"/>
        <w:rPr>
          <w:rFonts w:ascii="Century Gothic" w:hAnsi="Century Gothic"/>
          <w:lang w:val="fr-FR"/>
        </w:rPr>
      </w:pPr>
      <w:r>
        <w:rPr>
          <w:rFonts w:ascii="Century Gothic" w:hAnsi="Century Gothic"/>
          <w:lang w:val="fr-FR"/>
        </w:rPr>
        <w:t>Les biocarburants de première génération devraient-ils garder une part prépondérante à l’avenir ou se voir diminués comme le souhaite la Commission ?</w:t>
      </w:r>
    </w:p>
    <w:p w:rsidR="00F20228" w:rsidRPr="002846BC" w:rsidRDefault="00F20228" w:rsidP="000F4E61">
      <w:pPr>
        <w:pStyle w:val="Paragraphedeliste"/>
        <w:numPr>
          <w:ilvl w:val="1"/>
          <w:numId w:val="23"/>
        </w:numPr>
        <w:jc w:val="both"/>
        <w:rPr>
          <w:rFonts w:ascii="Century Gothic" w:hAnsi="Century Gothic"/>
          <w:lang w:val="fr-FR"/>
        </w:rPr>
      </w:pPr>
      <w:r>
        <w:rPr>
          <w:rFonts w:ascii="Century Gothic" w:hAnsi="Century Gothic"/>
          <w:lang w:val="fr-FR"/>
        </w:rPr>
        <w:t>Les biocarburants de seconde génération doivent-ils être promus et soutenus ?</w:t>
      </w:r>
    </w:p>
    <w:p w:rsidR="00906338" w:rsidRPr="002846BC" w:rsidRDefault="00906338" w:rsidP="00906338">
      <w:pPr>
        <w:pStyle w:val="Paragraphedeliste"/>
        <w:numPr>
          <w:ilvl w:val="0"/>
          <w:numId w:val="6"/>
        </w:numPr>
        <w:jc w:val="both"/>
        <w:rPr>
          <w:rFonts w:ascii="Century Gothic" w:hAnsi="Century Gothic"/>
        </w:rPr>
      </w:pPr>
      <w:r w:rsidRPr="002846BC">
        <w:rPr>
          <w:rFonts w:ascii="Century Gothic" w:hAnsi="Century Gothic"/>
          <w:u w:val="single"/>
          <w:lang w:val="fr-FR"/>
        </w:rPr>
        <w:t>Le fret</w:t>
      </w:r>
      <w:r w:rsidRPr="002846BC">
        <w:rPr>
          <w:rFonts w:ascii="Century Gothic" w:hAnsi="Century Gothic"/>
          <w:lang w:val="fr-FR"/>
        </w:rPr>
        <w:t xml:space="preserve">. </w:t>
      </w:r>
    </w:p>
    <w:p w:rsidR="00831CC5" w:rsidRPr="002846BC" w:rsidRDefault="00831CC5" w:rsidP="000F4E61">
      <w:pPr>
        <w:pStyle w:val="Paragraphedeliste"/>
        <w:numPr>
          <w:ilvl w:val="1"/>
          <w:numId w:val="23"/>
        </w:numPr>
        <w:jc w:val="both"/>
        <w:rPr>
          <w:rFonts w:ascii="Century Gothic" w:hAnsi="Century Gothic"/>
          <w:lang w:val="fr-BE"/>
        </w:rPr>
      </w:pPr>
      <w:r w:rsidRPr="002846BC">
        <w:rPr>
          <w:rFonts w:ascii="Century Gothic" w:hAnsi="Century Gothic"/>
          <w:lang w:val="fr-FR"/>
        </w:rPr>
        <w:t>Comment améliorer le transfert modal dans le secteur logistique ?</w:t>
      </w:r>
    </w:p>
    <w:p w:rsidR="00831CC5" w:rsidRPr="002846BC" w:rsidRDefault="00831CC5" w:rsidP="000F4E61">
      <w:pPr>
        <w:pStyle w:val="Paragraphedeliste"/>
        <w:numPr>
          <w:ilvl w:val="1"/>
          <w:numId w:val="23"/>
        </w:numPr>
        <w:jc w:val="both"/>
        <w:rPr>
          <w:rFonts w:ascii="Century Gothic" w:hAnsi="Century Gothic"/>
          <w:lang w:val="fr-BE"/>
        </w:rPr>
      </w:pPr>
      <w:r w:rsidRPr="002846BC">
        <w:rPr>
          <w:rFonts w:ascii="Century Gothic" w:hAnsi="Century Gothic"/>
          <w:lang w:val="fr-FR"/>
        </w:rPr>
        <w:t>Quels investissements seraient nécessaires pour rendre ce transfert attractif ?</w:t>
      </w:r>
    </w:p>
    <w:p w:rsidR="00831CC5" w:rsidRPr="002846BC" w:rsidRDefault="000D39CE" w:rsidP="000F4E61">
      <w:pPr>
        <w:pStyle w:val="Paragraphedeliste"/>
        <w:numPr>
          <w:ilvl w:val="1"/>
          <w:numId w:val="23"/>
        </w:numPr>
        <w:jc w:val="both"/>
        <w:rPr>
          <w:rFonts w:ascii="Century Gothic" w:hAnsi="Century Gothic"/>
          <w:lang w:val="fr-FR"/>
        </w:rPr>
      </w:pPr>
      <w:r w:rsidRPr="002846BC">
        <w:rPr>
          <w:rFonts w:ascii="Century Gothic" w:hAnsi="Century Gothic"/>
          <w:lang w:val="fr-FR"/>
        </w:rPr>
        <w:t>Comment assurer une compétitivité durable pour le secteur au regard des défis énergétiques et environnementaux ?</w:t>
      </w:r>
    </w:p>
    <w:p w:rsidR="00A73490" w:rsidRPr="002846BC" w:rsidRDefault="00906338" w:rsidP="00906338">
      <w:pPr>
        <w:pStyle w:val="Paragraphedeliste"/>
        <w:numPr>
          <w:ilvl w:val="0"/>
          <w:numId w:val="6"/>
        </w:numPr>
        <w:jc w:val="both"/>
        <w:rPr>
          <w:rFonts w:ascii="Century Gothic" w:hAnsi="Century Gothic"/>
        </w:rPr>
      </w:pPr>
      <w:r w:rsidRPr="002846BC">
        <w:rPr>
          <w:rFonts w:ascii="Century Gothic" w:hAnsi="Century Gothic"/>
          <w:u w:val="single"/>
          <w:lang w:val="fr-FR"/>
        </w:rPr>
        <w:t>L’effet rebond</w:t>
      </w:r>
      <w:r w:rsidRPr="002846BC">
        <w:rPr>
          <w:rFonts w:ascii="Century Gothic" w:hAnsi="Century Gothic"/>
          <w:lang w:val="fr-FR"/>
        </w:rPr>
        <w:t xml:space="preserve">. </w:t>
      </w:r>
    </w:p>
    <w:p w:rsidR="000D39CE" w:rsidRPr="002846BC" w:rsidRDefault="000D39CE" w:rsidP="000F4E61">
      <w:pPr>
        <w:pStyle w:val="Paragraphedeliste"/>
        <w:numPr>
          <w:ilvl w:val="1"/>
          <w:numId w:val="23"/>
        </w:numPr>
        <w:jc w:val="both"/>
        <w:rPr>
          <w:rFonts w:ascii="Century Gothic" w:hAnsi="Century Gothic"/>
          <w:lang w:val="fr-BE"/>
        </w:rPr>
      </w:pPr>
      <w:r w:rsidRPr="002846BC">
        <w:rPr>
          <w:rFonts w:ascii="Century Gothic" w:hAnsi="Century Gothic"/>
          <w:lang w:val="fr-FR"/>
        </w:rPr>
        <w:t>Comment éviter ou atténuer l’impact du nombre de véhicules électriques sur le réseau ?</w:t>
      </w:r>
    </w:p>
    <w:p w:rsidR="000D39CE" w:rsidRPr="000F4E61" w:rsidRDefault="000D39CE" w:rsidP="000F4E61">
      <w:pPr>
        <w:pStyle w:val="Paragraphedeliste"/>
        <w:numPr>
          <w:ilvl w:val="1"/>
          <w:numId w:val="23"/>
        </w:numPr>
        <w:jc w:val="both"/>
        <w:rPr>
          <w:rFonts w:ascii="Century Gothic" w:hAnsi="Century Gothic"/>
          <w:lang w:val="fr-BE"/>
        </w:rPr>
      </w:pPr>
      <w:r w:rsidRPr="002846BC">
        <w:rPr>
          <w:rFonts w:ascii="Century Gothic" w:hAnsi="Century Gothic"/>
          <w:lang w:val="fr-FR"/>
        </w:rPr>
        <w:lastRenderedPageBreak/>
        <w:t>Comment atténuer la dépendance du secteur aux source</w:t>
      </w:r>
      <w:r w:rsidR="008D406F" w:rsidRPr="002846BC">
        <w:rPr>
          <w:rFonts w:ascii="Century Gothic" w:hAnsi="Century Gothic"/>
          <w:lang w:val="fr-FR"/>
        </w:rPr>
        <w:t>s</w:t>
      </w:r>
      <w:r w:rsidRPr="002846BC">
        <w:rPr>
          <w:rFonts w:ascii="Century Gothic" w:hAnsi="Century Gothic"/>
          <w:lang w:val="fr-FR"/>
        </w:rPr>
        <w:t xml:space="preserve"> d’approvisionnement en lithium/batteries </w:t>
      </w:r>
      <w:r w:rsidR="008D406F" w:rsidRPr="002846BC">
        <w:rPr>
          <w:rFonts w:ascii="Century Gothic" w:hAnsi="Century Gothic"/>
          <w:lang w:val="fr-FR"/>
        </w:rPr>
        <w:t>et/ou aux terres rares ?</w:t>
      </w:r>
    </w:p>
    <w:p w:rsidR="000F4E61" w:rsidRPr="002846BC" w:rsidRDefault="000F4E61" w:rsidP="000F4E61">
      <w:pPr>
        <w:pStyle w:val="Paragraphedeliste"/>
        <w:ind w:left="1440"/>
        <w:jc w:val="both"/>
        <w:rPr>
          <w:rFonts w:ascii="Century Gothic" w:hAnsi="Century Gothic"/>
          <w:lang w:val="fr-BE"/>
        </w:rPr>
      </w:pPr>
    </w:p>
    <w:p w:rsidR="008D406F" w:rsidRPr="003311E4" w:rsidRDefault="008D406F" w:rsidP="000F4E61">
      <w:pPr>
        <w:pStyle w:val="Paragraphedeliste"/>
        <w:numPr>
          <w:ilvl w:val="1"/>
          <w:numId w:val="23"/>
        </w:numPr>
        <w:jc w:val="both"/>
        <w:rPr>
          <w:rFonts w:ascii="Century Gothic" w:hAnsi="Century Gothic"/>
          <w:lang w:val="fr-BE"/>
        </w:rPr>
      </w:pPr>
      <w:r w:rsidRPr="002846BC">
        <w:rPr>
          <w:rFonts w:ascii="Century Gothic" w:hAnsi="Century Gothic"/>
          <w:lang w:val="fr-FR"/>
        </w:rPr>
        <w:t>Comment imagineriez-vous un système de transport durable en cas de forte réduction ou d’interdiction de la commercialisation de véhicules thermiques ?</w:t>
      </w:r>
    </w:p>
    <w:p w:rsidR="003311E4" w:rsidRPr="003311E4" w:rsidRDefault="003311E4" w:rsidP="003311E4">
      <w:pPr>
        <w:pStyle w:val="Paragraphedeliste"/>
        <w:rPr>
          <w:rFonts w:ascii="Century Gothic" w:hAnsi="Century Gothic"/>
          <w:lang w:val="fr-BE"/>
        </w:rPr>
      </w:pPr>
    </w:p>
    <w:p w:rsidR="003311E4" w:rsidRDefault="003311E4" w:rsidP="003311E4">
      <w:pPr>
        <w:jc w:val="both"/>
        <w:rPr>
          <w:rFonts w:ascii="Century Gothic" w:hAnsi="Century Gothic"/>
        </w:rPr>
      </w:pPr>
    </w:p>
    <w:p w:rsidR="003311E4" w:rsidRDefault="003311E4" w:rsidP="003311E4">
      <w:pPr>
        <w:jc w:val="both"/>
        <w:rPr>
          <w:rFonts w:ascii="Century Gothic" w:hAnsi="Century Gothic"/>
        </w:rPr>
      </w:pPr>
    </w:p>
    <w:tbl>
      <w:tblPr>
        <w:tblStyle w:val="Grilledutableau"/>
        <w:tblW w:w="0" w:type="auto"/>
        <w:tblInd w:w="720" w:type="dxa"/>
        <w:tblLook w:val="04A0"/>
      </w:tblPr>
      <w:tblGrid>
        <w:gridCol w:w="4342"/>
        <w:gridCol w:w="4226"/>
      </w:tblGrid>
      <w:tr w:rsidR="003311E4" w:rsidTr="001B54AA">
        <w:tc>
          <w:tcPr>
            <w:tcW w:w="4342" w:type="dxa"/>
          </w:tcPr>
          <w:p w:rsidR="003311E4" w:rsidRDefault="003311E4" w:rsidP="001B54AA">
            <w:pPr>
              <w:pStyle w:val="Paragraphedeliste"/>
              <w:ind w:left="0"/>
              <w:jc w:val="both"/>
              <w:rPr>
                <w:rFonts w:ascii="Century Gothic" w:hAnsi="Century Gothic"/>
                <w:lang w:val="fr-BE"/>
              </w:rPr>
            </w:pPr>
            <w:r>
              <w:rPr>
                <w:rFonts w:ascii="Century Gothic" w:hAnsi="Century Gothic"/>
                <w:lang w:val="fr-BE"/>
              </w:rPr>
              <w:t>Nom Organisme</w:t>
            </w:r>
          </w:p>
        </w:tc>
        <w:tc>
          <w:tcPr>
            <w:tcW w:w="4226" w:type="dxa"/>
          </w:tcPr>
          <w:p w:rsidR="003311E4" w:rsidRDefault="003311E4" w:rsidP="001B54AA">
            <w:pPr>
              <w:pStyle w:val="Paragraphedeliste"/>
              <w:ind w:left="0"/>
              <w:jc w:val="both"/>
              <w:rPr>
                <w:rFonts w:ascii="Century Gothic" w:hAnsi="Century Gothic"/>
                <w:lang w:val="fr-BE"/>
              </w:rPr>
            </w:pPr>
          </w:p>
        </w:tc>
      </w:tr>
      <w:tr w:rsidR="003311E4" w:rsidTr="001B54AA">
        <w:tc>
          <w:tcPr>
            <w:tcW w:w="4342" w:type="dxa"/>
          </w:tcPr>
          <w:p w:rsidR="003311E4" w:rsidRDefault="003311E4" w:rsidP="001B54AA">
            <w:pPr>
              <w:pStyle w:val="Paragraphedeliste"/>
              <w:ind w:left="0"/>
              <w:jc w:val="both"/>
              <w:rPr>
                <w:rFonts w:ascii="Century Gothic" w:hAnsi="Century Gothic"/>
                <w:lang w:val="fr-BE"/>
              </w:rPr>
            </w:pPr>
            <w:r>
              <w:rPr>
                <w:rFonts w:ascii="Century Gothic" w:hAnsi="Century Gothic"/>
                <w:lang w:val="fr-BE"/>
              </w:rPr>
              <w:t>Personne de contact</w:t>
            </w:r>
          </w:p>
        </w:tc>
        <w:tc>
          <w:tcPr>
            <w:tcW w:w="4226" w:type="dxa"/>
          </w:tcPr>
          <w:p w:rsidR="003311E4" w:rsidRDefault="003311E4" w:rsidP="001B54AA">
            <w:pPr>
              <w:pStyle w:val="Paragraphedeliste"/>
              <w:ind w:left="0"/>
              <w:jc w:val="both"/>
              <w:rPr>
                <w:rFonts w:ascii="Century Gothic" w:hAnsi="Century Gothic"/>
                <w:lang w:val="fr-BE"/>
              </w:rPr>
            </w:pPr>
          </w:p>
        </w:tc>
      </w:tr>
      <w:tr w:rsidR="003311E4" w:rsidTr="001B54AA">
        <w:tc>
          <w:tcPr>
            <w:tcW w:w="4342" w:type="dxa"/>
          </w:tcPr>
          <w:p w:rsidR="003311E4" w:rsidRDefault="003311E4" w:rsidP="001B54AA">
            <w:pPr>
              <w:pStyle w:val="Paragraphedeliste"/>
              <w:ind w:left="0"/>
              <w:jc w:val="both"/>
              <w:rPr>
                <w:rFonts w:ascii="Century Gothic" w:hAnsi="Century Gothic"/>
                <w:lang w:val="fr-BE"/>
              </w:rPr>
            </w:pPr>
            <w:r>
              <w:rPr>
                <w:rFonts w:ascii="Century Gothic" w:hAnsi="Century Gothic"/>
                <w:lang w:val="fr-BE"/>
              </w:rPr>
              <w:t>Tel.</w:t>
            </w:r>
          </w:p>
        </w:tc>
        <w:tc>
          <w:tcPr>
            <w:tcW w:w="4226" w:type="dxa"/>
          </w:tcPr>
          <w:p w:rsidR="003311E4" w:rsidRDefault="003311E4" w:rsidP="001B54AA">
            <w:pPr>
              <w:pStyle w:val="Paragraphedeliste"/>
              <w:ind w:left="0"/>
              <w:jc w:val="both"/>
              <w:rPr>
                <w:rFonts w:ascii="Century Gothic" w:hAnsi="Century Gothic"/>
                <w:lang w:val="fr-BE"/>
              </w:rPr>
            </w:pPr>
          </w:p>
        </w:tc>
      </w:tr>
      <w:tr w:rsidR="003311E4" w:rsidTr="001B54AA">
        <w:tc>
          <w:tcPr>
            <w:tcW w:w="4342" w:type="dxa"/>
          </w:tcPr>
          <w:p w:rsidR="003311E4" w:rsidRDefault="003311E4" w:rsidP="001B54AA">
            <w:pPr>
              <w:pStyle w:val="Paragraphedeliste"/>
              <w:ind w:left="0"/>
              <w:jc w:val="both"/>
              <w:rPr>
                <w:rFonts w:ascii="Century Gothic" w:hAnsi="Century Gothic"/>
                <w:lang w:val="fr-BE"/>
              </w:rPr>
            </w:pPr>
            <w:r>
              <w:rPr>
                <w:rFonts w:ascii="Century Gothic" w:hAnsi="Century Gothic"/>
                <w:lang w:val="fr-BE"/>
              </w:rPr>
              <w:t>Mail</w:t>
            </w:r>
          </w:p>
        </w:tc>
        <w:tc>
          <w:tcPr>
            <w:tcW w:w="4226" w:type="dxa"/>
          </w:tcPr>
          <w:p w:rsidR="003311E4" w:rsidRDefault="003311E4" w:rsidP="001B54AA">
            <w:pPr>
              <w:pStyle w:val="Paragraphedeliste"/>
              <w:ind w:left="0"/>
              <w:jc w:val="both"/>
              <w:rPr>
                <w:rFonts w:ascii="Century Gothic" w:hAnsi="Century Gothic"/>
                <w:lang w:val="fr-BE"/>
              </w:rPr>
            </w:pPr>
          </w:p>
        </w:tc>
      </w:tr>
      <w:tr w:rsidR="003311E4" w:rsidTr="001B54AA">
        <w:tc>
          <w:tcPr>
            <w:tcW w:w="4342" w:type="dxa"/>
          </w:tcPr>
          <w:p w:rsidR="003311E4" w:rsidRDefault="003311E4" w:rsidP="001B54AA">
            <w:pPr>
              <w:pStyle w:val="Paragraphedeliste"/>
              <w:ind w:left="0"/>
              <w:jc w:val="both"/>
              <w:rPr>
                <w:rFonts w:ascii="Century Gothic" w:hAnsi="Century Gothic"/>
                <w:lang w:val="fr-BE"/>
              </w:rPr>
            </w:pPr>
            <w:r>
              <w:rPr>
                <w:rFonts w:ascii="Century Gothic" w:hAnsi="Century Gothic"/>
                <w:lang w:val="fr-BE"/>
              </w:rPr>
              <w:t>Mes réponses  sont confidentielles</w:t>
            </w:r>
          </w:p>
          <w:p w:rsidR="003311E4" w:rsidRPr="00315A0E" w:rsidRDefault="003311E4" w:rsidP="001B54AA">
            <w:pPr>
              <w:pStyle w:val="Paragraphedeliste"/>
              <w:ind w:left="0"/>
              <w:jc w:val="both"/>
              <w:rPr>
                <w:rFonts w:ascii="Century Gothic" w:hAnsi="Century Gothic"/>
                <w:sz w:val="16"/>
                <w:szCs w:val="16"/>
                <w:lang w:val="fr-BE"/>
              </w:rPr>
            </w:pPr>
            <w:r w:rsidRPr="00315A0E">
              <w:rPr>
                <w:rFonts w:ascii="Century Gothic" w:hAnsi="Century Gothic"/>
                <w:sz w:val="16"/>
                <w:szCs w:val="16"/>
                <w:lang w:val="fr-BE"/>
              </w:rPr>
              <w:t>(biffer la mention inutile)</w:t>
            </w:r>
          </w:p>
        </w:tc>
        <w:tc>
          <w:tcPr>
            <w:tcW w:w="4226" w:type="dxa"/>
          </w:tcPr>
          <w:p w:rsidR="003311E4" w:rsidRDefault="003311E4" w:rsidP="001B54AA">
            <w:pPr>
              <w:pStyle w:val="Paragraphedeliste"/>
              <w:ind w:left="0"/>
              <w:jc w:val="both"/>
              <w:rPr>
                <w:rFonts w:ascii="Century Gothic" w:hAnsi="Century Gothic"/>
                <w:lang w:val="fr-BE"/>
              </w:rPr>
            </w:pPr>
            <w:r>
              <w:rPr>
                <w:rFonts w:ascii="Century Gothic" w:hAnsi="Century Gothic"/>
                <w:lang w:val="fr-BE"/>
              </w:rPr>
              <w:t>OUI- NON</w:t>
            </w:r>
          </w:p>
        </w:tc>
      </w:tr>
    </w:tbl>
    <w:p w:rsidR="003311E4" w:rsidRPr="003311E4" w:rsidRDefault="003311E4" w:rsidP="003311E4">
      <w:pPr>
        <w:jc w:val="both"/>
        <w:rPr>
          <w:rFonts w:ascii="Century Gothic" w:hAnsi="Century Gothic"/>
        </w:rPr>
      </w:pPr>
    </w:p>
    <w:sectPr w:rsidR="003311E4" w:rsidRPr="003311E4" w:rsidSect="00FF0BF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AD" w:rsidRDefault="000C31AD" w:rsidP="005B4EEA">
      <w:pPr>
        <w:spacing w:after="0" w:line="240" w:lineRule="auto"/>
      </w:pPr>
      <w:r>
        <w:separator/>
      </w:r>
    </w:p>
  </w:endnote>
  <w:endnote w:type="continuationSeparator" w:id="0">
    <w:p w:rsidR="000C31AD" w:rsidRDefault="000C31AD" w:rsidP="005B4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507"/>
      <w:docPartObj>
        <w:docPartGallery w:val="Page Numbers (Bottom of Page)"/>
        <w:docPartUnique/>
      </w:docPartObj>
    </w:sdtPr>
    <w:sdtContent>
      <w:p w:rsidR="00425550" w:rsidRDefault="00017FB5">
        <w:pPr>
          <w:pStyle w:val="Pieddepage"/>
          <w:jc w:val="right"/>
        </w:pPr>
        <w:fldSimple w:instr=" PAGE   \* MERGEFORMAT ">
          <w:r w:rsidR="007510EB">
            <w:rPr>
              <w:noProof/>
            </w:rPr>
            <w:t>17</w:t>
          </w:r>
        </w:fldSimple>
      </w:p>
    </w:sdtContent>
  </w:sdt>
  <w:p w:rsidR="00425550" w:rsidRDefault="004255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AD" w:rsidRDefault="000C31AD" w:rsidP="005B4EEA">
      <w:pPr>
        <w:spacing w:after="0" w:line="240" w:lineRule="auto"/>
      </w:pPr>
      <w:r>
        <w:separator/>
      </w:r>
    </w:p>
  </w:footnote>
  <w:footnote w:type="continuationSeparator" w:id="0">
    <w:p w:rsidR="000C31AD" w:rsidRDefault="000C31AD" w:rsidP="005B4EEA">
      <w:pPr>
        <w:spacing w:after="0" w:line="240" w:lineRule="auto"/>
      </w:pPr>
      <w:r>
        <w:continuationSeparator/>
      </w:r>
    </w:p>
  </w:footnote>
  <w:footnote w:id="1">
    <w:p w:rsidR="00425550" w:rsidRPr="00820D19" w:rsidRDefault="00425550">
      <w:pPr>
        <w:pStyle w:val="Notedebasdepage"/>
        <w:rPr>
          <w:lang w:val="fr-BE"/>
        </w:rPr>
      </w:pPr>
      <w:r>
        <w:rPr>
          <w:rStyle w:val="Appelnotedebasdep"/>
        </w:rPr>
        <w:footnoteRef/>
      </w:r>
      <w:r w:rsidRPr="00820D19">
        <w:rPr>
          <w:lang w:val="fr-BE"/>
        </w:rPr>
        <w:t xml:space="preserve"> </w:t>
      </w:r>
      <w:r>
        <w:rPr>
          <w:lang w:val="fr-BE"/>
        </w:rPr>
        <w:t>TIC : Technologie de l’Information et Communication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C86F2F"/>
    <w:multiLevelType w:val="hybridMultilevel"/>
    <w:tmpl w:val="61A67614"/>
    <w:lvl w:ilvl="0" w:tplc="9BC450CE">
      <w:numFmt w:val="bullet"/>
      <w:lvlText w:val="-"/>
      <w:lvlJc w:val="left"/>
      <w:pPr>
        <w:ind w:left="720" w:hanging="360"/>
      </w:pPr>
      <w:rPr>
        <w:rFonts w:ascii="Cambria" w:eastAsiaTheme="majorEastAsia" w:hAnsi="Cambria"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61C64F1"/>
    <w:multiLevelType w:val="multilevel"/>
    <w:tmpl w:val="6C1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52C5"/>
    <w:multiLevelType w:val="hybridMultilevel"/>
    <w:tmpl w:val="BC963D2E"/>
    <w:lvl w:ilvl="0" w:tplc="9B324100">
      <w:numFmt w:val="bullet"/>
      <w:lvlText w:val="-"/>
      <w:lvlJc w:val="left"/>
      <w:pPr>
        <w:ind w:left="720" w:hanging="360"/>
      </w:pPr>
      <w:rPr>
        <w:rFonts w:ascii="Calibri" w:eastAsiaTheme="minorHAnsi" w:hAnsi="Calibri" w:cstheme="minorBidi" w:hint="default"/>
      </w:rPr>
    </w:lvl>
    <w:lvl w:ilvl="1" w:tplc="080C000F">
      <w:start w:val="1"/>
      <w:numFmt w:val="decimal"/>
      <w:lvlText w:val="%2."/>
      <w:lvlJc w:val="left"/>
      <w:pPr>
        <w:ind w:left="1211"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973AFB"/>
    <w:multiLevelType w:val="hybridMultilevel"/>
    <w:tmpl w:val="3ECEB118"/>
    <w:lvl w:ilvl="0" w:tplc="D026D6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4882CED"/>
    <w:multiLevelType w:val="multilevel"/>
    <w:tmpl w:val="87486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80B6A21"/>
    <w:multiLevelType w:val="multilevel"/>
    <w:tmpl w:val="7B061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3110D9"/>
    <w:multiLevelType w:val="hybridMultilevel"/>
    <w:tmpl w:val="ECD650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nsid w:val="2C880C3B"/>
    <w:multiLevelType w:val="hybridMultilevel"/>
    <w:tmpl w:val="49E069F0"/>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DC47FAC"/>
    <w:multiLevelType w:val="multilevel"/>
    <w:tmpl w:val="87486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1BE0F32"/>
    <w:multiLevelType w:val="hybridMultilevel"/>
    <w:tmpl w:val="4FD61A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394765C"/>
    <w:multiLevelType w:val="hybridMultilevel"/>
    <w:tmpl w:val="0486C63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353B4690"/>
    <w:multiLevelType w:val="hybridMultilevel"/>
    <w:tmpl w:val="F5846680"/>
    <w:lvl w:ilvl="0" w:tplc="9B324100">
      <w:numFmt w:val="bullet"/>
      <w:lvlText w:val="-"/>
      <w:lvlJc w:val="left"/>
      <w:pPr>
        <w:ind w:left="720" w:hanging="360"/>
      </w:pPr>
      <w:rPr>
        <w:rFonts w:ascii="Calibri" w:eastAsiaTheme="minorHAnsi" w:hAnsi="Calibri" w:cstheme="minorBidi"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BF6C8A"/>
    <w:multiLevelType w:val="hybridMultilevel"/>
    <w:tmpl w:val="ACAA71C8"/>
    <w:lvl w:ilvl="0" w:tplc="A9FA51E2">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1D4229E"/>
    <w:multiLevelType w:val="hybridMultilevel"/>
    <w:tmpl w:val="6C069A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9F03040"/>
    <w:multiLevelType w:val="hybridMultilevel"/>
    <w:tmpl w:val="0CA69786"/>
    <w:lvl w:ilvl="0" w:tplc="ABDC988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4A347720"/>
    <w:multiLevelType w:val="hybridMultilevel"/>
    <w:tmpl w:val="622EE6BC"/>
    <w:lvl w:ilvl="0" w:tplc="59A6D01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nsid w:val="4EE97D4E"/>
    <w:multiLevelType w:val="hybridMultilevel"/>
    <w:tmpl w:val="E6029D5C"/>
    <w:lvl w:ilvl="0" w:tplc="9B324100">
      <w:numFmt w:val="bullet"/>
      <w:lvlText w:val="-"/>
      <w:lvlJc w:val="left"/>
      <w:pPr>
        <w:ind w:left="720" w:hanging="360"/>
      </w:pPr>
      <w:rPr>
        <w:rFonts w:ascii="Calibri" w:eastAsiaTheme="minorHAnsi" w:hAnsi="Calibri" w:cstheme="minorBidi"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323570"/>
    <w:multiLevelType w:val="hybridMultilevel"/>
    <w:tmpl w:val="A1A84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2E43D09"/>
    <w:multiLevelType w:val="hybridMultilevel"/>
    <w:tmpl w:val="C1C2E4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3BB6DCA"/>
    <w:multiLevelType w:val="hybridMultilevel"/>
    <w:tmpl w:val="89C02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5123F99"/>
    <w:multiLevelType w:val="hybridMultilevel"/>
    <w:tmpl w:val="20FA7000"/>
    <w:lvl w:ilvl="0" w:tplc="A2B810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20"/>
  </w:num>
  <w:num w:numId="5">
    <w:abstractNumId w:val="5"/>
  </w:num>
  <w:num w:numId="6">
    <w:abstractNumId w:val="3"/>
  </w:num>
  <w:num w:numId="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0"/>
  </w:num>
  <w:num w:numId="11">
    <w:abstractNumId w:val="22"/>
  </w:num>
  <w:num w:numId="12">
    <w:abstractNumId w:val="15"/>
  </w:num>
  <w:num w:numId="13">
    <w:abstractNumId w:val="4"/>
  </w:num>
  <w:num w:numId="14">
    <w:abstractNumId w:val="14"/>
  </w:num>
  <w:num w:numId="15">
    <w:abstractNumId w:val="19"/>
  </w:num>
  <w:num w:numId="16">
    <w:abstractNumId w:val="1"/>
  </w:num>
  <w:num w:numId="17">
    <w:abstractNumId w:val="9"/>
  </w:num>
  <w:num w:numId="18">
    <w:abstractNumId w:val="6"/>
  </w:num>
  <w:num w:numId="19">
    <w:abstractNumId w:val="16"/>
  </w:num>
  <w:num w:numId="20">
    <w:abstractNumId w:val="7"/>
  </w:num>
  <w:num w:numId="21">
    <w:abstractNumId w:val="11"/>
  </w:num>
  <w:num w:numId="22">
    <w:abstractNumId w:val="21"/>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54B1"/>
    <w:rsid w:val="00004B95"/>
    <w:rsid w:val="00011FF6"/>
    <w:rsid w:val="00017FB5"/>
    <w:rsid w:val="00034BB4"/>
    <w:rsid w:val="00037C53"/>
    <w:rsid w:val="00063BE6"/>
    <w:rsid w:val="00081D05"/>
    <w:rsid w:val="000B49D0"/>
    <w:rsid w:val="000C31AD"/>
    <w:rsid w:val="000D1CB1"/>
    <w:rsid w:val="000D39CE"/>
    <w:rsid w:val="000D4CE5"/>
    <w:rsid w:val="000D780B"/>
    <w:rsid w:val="000E6AB0"/>
    <w:rsid w:val="000F4E61"/>
    <w:rsid w:val="00125195"/>
    <w:rsid w:val="00137B17"/>
    <w:rsid w:val="001409CF"/>
    <w:rsid w:val="00140EFC"/>
    <w:rsid w:val="00144303"/>
    <w:rsid w:val="00156246"/>
    <w:rsid w:val="00157ECF"/>
    <w:rsid w:val="0016690D"/>
    <w:rsid w:val="00181907"/>
    <w:rsid w:val="00192E26"/>
    <w:rsid w:val="001A4A07"/>
    <w:rsid w:val="001A514F"/>
    <w:rsid w:val="001C1FBC"/>
    <w:rsid w:val="001C35B4"/>
    <w:rsid w:val="00222A42"/>
    <w:rsid w:val="00235401"/>
    <w:rsid w:val="002801CD"/>
    <w:rsid w:val="002846BC"/>
    <w:rsid w:val="002924E6"/>
    <w:rsid w:val="00292943"/>
    <w:rsid w:val="002C5481"/>
    <w:rsid w:val="002D4AAA"/>
    <w:rsid w:val="00304CF2"/>
    <w:rsid w:val="00320D69"/>
    <w:rsid w:val="0033110E"/>
    <w:rsid w:val="003311E4"/>
    <w:rsid w:val="0034006E"/>
    <w:rsid w:val="00344BB5"/>
    <w:rsid w:val="003538D2"/>
    <w:rsid w:val="00356B47"/>
    <w:rsid w:val="00361D7C"/>
    <w:rsid w:val="00370196"/>
    <w:rsid w:val="00372EEB"/>
    <w:rsid w:val="00381657"/>
    <w:rsid w:val="00384033"/>
    <w:rsid w:val="00391420"/>
    <w:rsid w:val="003C2016"/>
    <w:rsid w:val="003C3179"/>
    <w:rsid w:val="00407582"/>
    <w:rsid w:val="00417651"/>
    <w:rsid w:val="00425550"/>
    <w:rsid w:val="00427B61"/>
    <w:rsid w:val="00444047"/>
    <w:rsid w:val="0045284B"/>
    <w:rsid w:val="00472DC8"/>
    <w:rsid w:val="00472F17"/>
    <w:rsid w:val="00474E3F"/>
    <w:rsid w:val="00475377"/>
    <w:rsid w:val="004E5BC5"/>
    <w:rsid w:val="004E76D8"/>
    <w:rsid w:val="004F0102"/>
    <w:rsid w:val="004F2A77"/>
    <w:rsid w:val="004F40BC"/>
    <w:rsid w:val="00507062"/>
    <w:rsid w:val="005275F2"/>
    <w:rsid w:val="005356D1"/>
    <w:rsid w:val="0058559A"/>
    <w:rsid w:val="005951EB"/>
    <w:rsid w:val="00597FFD"/>
    <w:rsid w:val="005B4111"/>
    <w:rsid w:val="005B4EEA"/>
    <w:rsid w:val="005C34D0"/>
    <w:rsid w:val="005C47BA"/>
    <w:rsid w:val="005E2A67"/>
    <w:rsid w:val="005E6308"/>
    <w:rsid w:val="005E6D7F"/>
    <w:rsid w:val="005F0538"/>
    <w:rsid w:val="006036AB"/>
    <w:rsid w:val="006065D1"/>
    <w:rsid w:val="006219A7"/>
    <w:rsid w:val="0062652B"/>
    <w:rsid w:val="006321AF"/>
    <w:rsid w:val="00640244"/>
    <w:rsid w:val="00654542"/>
    <w:rsid w:val="00660AA6"/>
    <w:rsid w:val="00663D8E"/>
    <w:rsid w:val="006803D1"/>
    <w:rsid w:val="00680CE0"/>
    <w:rsid w:val="00681E74"/>
    <w:rsid w:val="00695BF4"/>
    <w:rsid w:val="006B7017"/>
    <w:rsid w:val="006C5FF4"/>
    <w:rsid w:val="006D04BA"/>
    <w:rsid w:val="006D7EEC"/>
    <w:rsid w:val="0071438C"/>
    <w:rsid w:val="00717AFD"/>
    <w:rsid w:val="00727CBC"/>
    <w:rsid w:val="007510EB"/>
    <w:rsid w:val="00751382"/>
    <w:rsid w:val="0075602F"/>
    <w:rsid w:val="00756CB3"/>
    <w:rsid w:val="00763776"/>
    <w:rsid w:val="007651F0"/>
    <w:rsid w:val="00771027"/>
    <w:rsid w:val="0077675C"/>
    <w:rsid w:val="007A2DEA"/>
    <w:rsid w:val="007A5B20"/>
    <w:rsid w:val="007D675B"/>
    <w:rsid w:val="007E3B50"/>
    <w:rsid w:val="007F5D5A"/>
    <w:rsid w:val="007F6E4C"/>
    <w:rsid w:val="00806E6E"/>
    <w:rsid w:val="00820D19"/>
    <w:rsid w:val="00827FEB"/>
    <w:rsid w:val="00831CC5"/>
    <w:rsid w:val="00847023"/>
    <w:rsid w:val="00851B35"/>
    <w:rsid w:val="00860608"/>
    <w:rsid w:val="008A4F42"/>
    <w:rsid w:val="008A74B2"/>
    <w:rsid w:val="008B2AA5"/>
    <w:rsid w:val="008B4079"/>
    <w:rsid w:val="008C70BF"/>
    <w:rsid w:val="008D2A07"/>
    <w:rsid w:val="008D406F"/>
    <w:rsid w:val="008D4D77"/>
    <w:rsid w:val="008E54CC"/>
    <w:rsid w:val="008E6300"/>
    <w:rsid w:val="00906338"/>
    <w:rsid w:val="00925BD1"/>
    <w:rsid w:val="00926F32"/>
    <w:rsid w:val="00930FDF"/>
    <w:rsid w:val="00947862"/>
    <w:rsid w:val="00952607"/>
    <w:rsid w:val="009529B9"/>
    <w:rsid w:val="00963F0D"/>
    <w:rsid w:val="009D084B"/>
    <w:rsid w:val="00A03979"/>
    <w:rsid w:val="00A04B7D"/>
    <w:rsid w:val="00A12A2B"/>
    <w:rsid w:val="00A2660F"/>
    <w:rsid w:val="00A37063"/>
    <w:rsid w:val="00A4559F"/>
    <w:rsid w:val="00A45C91"/>
    <w:rsid w:val="00A52771"/>
    <w:rsid w:val="00A73490"/>
    <w:rsid w:val="00A869F7"/>
    <w:rsid w:val="00A967AC"/>
    <w:rsid w:val="00AA7773"/>
    <w:rsid w:val="00AB51B4"/>
    <w:rsid w:val="00AB5755"/>
    <w:rsid w:val="00AC6D0D"/>
    <w:rsid w:val="00AD0E7A"/>
    <w:rsid w:val="00AF1A69"/>
    <w:rsid w:val="00B05165"/>
    <w:rsid w:val="00B059DD"/>
    <w:rsid w:val="00B11C95"/>
    <w:rsid w:val="00B12027"/>
    <w:rsid w:val="00B12F3A"/>
    <w:rsid w:val="00B154B1"/>
    <w:rsid w:val="00B228DF"/>
    <w:rsid w:val="00B252CD"/>
    <w:rsid w:val="00B4217C"/>
    <w:rsid w:val="00B5258B"/>
    <w:rsid w:val="00BE0978"/>
    <w:rsid w:val="00C13899"/>
    <w:rsid w:val="00C139F6"/>
    <w:rsid w:val="00C44E2B"/>
    <w:rsid w:val="00C47849"/>
    <w:rsid w:val="00C50884"/>
    <w:rsid w:val="00C5575C"/>
    <w:rsid w:val="00C76923"/>
    <w:rsid w:val="00CB27DF"/>
    <w:rsid w:val="00CB4170"/>
    <w:rsid w:val="00CB75ED"/>
    <w:rsid w:val="00CE5BC8"/>
    <w:rsid w:val="00D029FC"/>
    <w:rsid w:val="00D02F89"/>
    <w:rsid w:val="00D26BDA"/>
    <w:rsid w:val="00D33CD7"/>
    <w:rsid w:val="00D36CCC"/>
    <w:rsid w:val="00D43F37"/>
    <w:rsid w:val="00D51489"/>
    <w:rsid w:val="00D51A75"/>
    <w:rsid w:val="00D52EF4"/>
    <w:rsid w:val="00D60588"/>
    <w:rsid w:val="00D6535A"/>
    <w:rsid w:val="00D8012C"/>
    <w:rsid w:val="00D82F5F"/>
    <w:rsid w:val="00D96912"/>
    <w:rsid w:val="00DB3FF3"/>
    <w:rsid w:val="00DD5890"/>
    <w:rsid w:val="00DE0EE2"/>
    <w:rsid w:val="00DE1378"/>
    <w:rsid w:val="00E05578"/>
    <w:rsid w:val="00E25120"/>
    <w:rsid w:val="00E50A72"/>
    <w:rsid w:val="00E5749D"/>
    <w:rsid w:val="00E75C61"/>
    <w:rsid w:val="00E83089"/>
    <w:rsid w:val="00E84292"/>
    <w:rsid w:val="00E93358"/>
    <w:rsid w:val="00EB53CA"/>
    <w:rsid w:val="00EB58EC"/>
    <w:rsid w:val="00EC5891"/>
    <w:rsid w:val="00EF3256"/>
    <w:rsid w:val="00F055B5"/>
    <w:rsid w:val="00F128A0"/>
    <w:rsid w:val="00F16C65"/>
    <w:rsid w:val="00F17EB5"/>
    <w:rsid w:val="00F20228"/>
    <w:rsid w:val="00F23E35"/>
    <w:rsid w:val="00F45A69"/>
    <w:rsid w:val="00F472A1"/>
    <w:rsid w:val="00F535F5"/>
    <w:rsid w:val="00F67602"/>
    <w:rsid w:val="00F7552F"/>
    <w:rsid w:val="00F81525"/>
    <w:rsid w:val="00F93A68"/>
    <w:rsid w:val="00F978FF"/>
    <w:rsid w:val="00FD4B40"/>
    <w:rsid w:val="00FD4DAB"/>
    <w:rsid w:val="00FE1004"/>
    <w:rsid w:val="00FE63BF"/>
    <w:rsid w:val="00FE7B87"/>
    <w:rsid w:val="00FF0BF8"/>
    <w:rsid w:val="00FF31B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4B"/>
  </w:style>
  <w:style w:type="paragraph" w:styleId="Titre1">
    <w:name w:val="heading 1"/>
    <w:basedOn w:val="Normal"/>
    <w:next w:val="Normal"/>
    <w:link w:val="Titre1Car"/>
    <w:uiPriority w:val="9"/>
    <w:qFormat/>
    <w:rsid w:val="00166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34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734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A5B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B4EEA"/>
    <w:pPr>
      <w:ind w:left="720"/>
      <w:contextualSpacing/>
    </w:pPr>
    <w:rPr>
      <w:lang w:val="en-GB"/>
    </w:rPr>
  </w:style>
  <w:style w:type="paragraph" w:styleId="Notedebasdepage">
    <w:name w:val="footnote text"/>
    <w:basedOn w:val="Normal"/>
    <w:link w:val="NotedebasdepageCar"/>
    <w:uiPriority w:val="99"/>
    <w:unhideWhenUsed/>
    <w:rsid w:val="005B4EEA"/>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5B4EEA"/>
    <w:rPr>
      <w:sz w:val="20"/>
      <w:szCs w:val="20"/>
      <w:lang w:val="en-GB"/>
    </w:rPr>
  </w:style>
  <w:style w:type="character" w:styleId="Appelnotedebasdep">
    <w:name w:val="footnote reference"/>
    <w:basedOn w:val="Policepardfaut"/>
    <w:uiPriority w:val="99"/>
    <w:semiHidden/>
    <w:unhideWhenUsed/>
    <w:rsid w:val="005B4EEA"/>
    <w:rPr>
      <w:vertAlign w:val="superscript"/>
    </w:rPr>
  </w:style>
  <w:style w:type="character" w:customStyle="1" w:styleId="Titre1Car">
    <w:name w:val="Titre 1 Car"/>
    <w:basedOn w:val="Policepardfaut"/>
    <w:link w:val="Titre1"/>
    <w:uiPriority w:val="9"/>
    <w:rsid w:val="001669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69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34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734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A5B2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4F2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A77"/>
    <w:rPr>
      <w:rFonts w:ascii="Tahoma" w:hAnsi="Tahoma" w:cs="Tahoma"/>
      <w:sz w:val="16"/>
      <w:szCs w:val="16"/>
    </w:rPr>
  </w:style>
  <w:style w:type="paragraph" w:styleId="En-ttedetabledesmatires">
    <w:name w:val="TOC Heading"/>
    <w:basedOn w:val="Titre1"/>
    <w:next w:val="Normal"/>
    <w:uiPriority w:val="39"/>
    <w:semiHidden/>
    <w:unhideWhenUsed/>
    <w:qFormat/>
    <w:rsid w:val="00472F17"/>
    <w:pPr>
      <w:outlineLvl w:val="9"/>
    </w:pPr>
    <w:rPr>
      <w:lang w:val="fr-FR"/>
    </w:rPr>
  </w:style>
  <w:style w:type="paragraph" w:styleId="TM1">
    <w:name w:val="toc 1"/>
    <w:basedOn w:val="Normal"/>
    <w:next w:val="Normal"/>
    <w:autoRedefine/>
    <w:uiPriority w:val="39"/>
    <w:unhideWhenUsed/>
    <w:rsid w:val="00472F17"/>
    <w:pPr>
      <w:spacing w:after="100"/>
    </w:pPr>
  </w:style>
  <w:style w:type="paragraph" w:styleId="TM2">
    <w:name w:val="toc 2"/>
    <w:basedOn w:val="Normal"/>
    <w:next w:val="Normal"/>
    <w:autoRedefine/>
    <w:uiPriority w:val="39"/>
    <w:unhideWhenUsed/>
    <w:rsid w:val="00472F17"/>
    <w:pPr>
      <w:spacing w:after="100"/>
      <w:ind w:left="220"/>
    </w:pPr>
  </w:style>
  <w:style w:type="paragraph" w:styleId="TM3">
    <w:name w:val="toc 3"/>
    <w:basedOn w:val="Normal"/>
    <w:next w:val="Normal"/>
    <w:autoRedefine/>
    <w:uiPriority w:val="39"/>
    <w:unhideWhenUsed/>
    <w:rsid w:val="00472F17"/>
    <w:pPr>
      <w:spacing w:after="100"/>
      <w:ind w:left="440"/>
    </w:pPr>
  </w:style>
  <w:style w:type="character" w:styleId="Lienhypertexte">
    <w:name w:val="Hyperlink"/>
    <w:basedOn w:val="Policepardfaut"/>
    <w:uiPriority w:val="99"/>
    <w:unhideWhenUsed/>
    <w:rsid w:val="00472F17"/>
    <w:rPr>
      <w:color w:val="0000FF" w:themeColor="hyperlink"/>
      <w:u w:val="single"/>
    </w:rPr>
  </w:style>
  <w:style w:type="paragraph" w:styleId="En-tte">
    <w:name w:val="header"/>
    <w:basedOn w:val="Normal"/>
    <w:link w:val="En-tteCar"/>
    <w:uiPriority w:val="99"/>
    <w:semiHidden/>
    <w:unhideWhenUsed/>
    <w:rsid w:val="003311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110E"/>
  </w:style>
  <w:style w:type="paragraph" w:styleId="Pieddepage">
    <w:name w:val="footer"/>
    <w:basedOn w:val="Normal"/>
    <w:link w:val="PieddepageCar"/>
    <w:uiPriority w:val="99"/>
    <w:unhideWhenUsed/>
    <w:rsid w:val="00331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10E"/>
  </w:style>
  <w:style w:type="character" w:styleId="Marquedecommentaire">
    <w:name w:val="annotation reference"/>
    <w:basedOn w:val="Policepardfaut"/>
    <w:uiPriority w:val="99"/>
    <w:semiHidden/>
    <w:unhideWhenUsed/>
    <w:rsid w:val="005F0538"/>
    <w:rPr>
      <w:sz w:val="16"/>
      <w:szCs w:val="16"/>
    </w:rPr>
  </w:style>
  <w:style w:type="paragraph" w:styleId="Commentaire">
    <w:name w:val="annotation text"/>
    <w:basedOn w:val="Normal"/>
    <w:link w:val="CommentaireCar"/>
    <w:uiPriority w:val="99"/>
    <w:semiHidden/>
    <w:unhideWhenUsed/>
    <w:rsid w:val="005F0538"/>
    <w:pPr>
      <w:spacing w:line="240" w:lineRule="auto"/>
    </w:pPr>
    <w:rPr>
      <w:sz w:val="20"/>
      <w:szCs w:val="20"/>
    </w:rPr>
  </w:style>
  <w:style w:type="character" w:customStyle="1" w:styleId="CommentaireCar">
    <w:name w:val="Commentaire Car"/>
    <w:basedOn w:val="Policepardfaut"/>
    <w:link w:val="Commentaire"/>
    <w:uiPriority w:val="99"/>
    <w:semiHidden/>
    <w:rsid w:val="005F0538"/>
    <w:rPr>
      <w:sz w:val="20"/>
      <w:szCs w:val="20"/>
    </w:rPr>
  </w:style>
  <w:style w:type="paragraph" w:styleId="Objetducommentaire">
    <w:name w:val="annotation subject"/>
    <w:basedOn w:val="Commentaire"/>
    <w:next w:val="Commentaire"/>
    <w:link w:val="ObjetducommentaireCar"/>
    <w:uiPriority w:val="99"/>
    <w:semiHidden/>
    <w:unhideWhenUsed/>
    <w:rsid w:val="005F0538"/>
    <w:rPr>
      <w:b/>
      <w:bCs/>
    </w:rPr>
  </w:style>
  <w:style w:type="character" w:customStyle="1" w:styleId="ObjetducommentaireCar">
    <w:name w:val="Objet du commentaire Car"/>
    <w:basedOn w:val="CommentaireCar"/>
    <w:link w:val="Objetducommentaire"/>
    <w:uiPriority w:val="99"/>
    <w:semiHidden/>
    <w:rsid w:val="005F0538"/>
    <w:rPr>
      <w:b/>
      <w:bCs/>
    </w:rPr>
  </w:style>
  <w:style w:type="table" w:styleId="Listeclaire-Accent5">
    <w:name w:val="Light List Accent 5"/>
    <w:basedOn w:val="TableauNormal"/>
    <w:uiPriority w:val="61"/>
    <w:rsid w:val="00F535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claire-Accent11">
    <w:name w:val="Trame claire - Accent 11"/>
    <w:basedOn w:val="TableauNormal"/>
    <w:uiPriority w:val="60"/>
    <w:rsid w:val="00F535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ct-nat">
    <w:name w:val="act-nat"/>
    <w:basedOn w:val="Policepardfaut"/>
    <w:rsid w:val="00156246"/>
  </w:style>
  <w:style w:type="character" w:customStyle="1" w:styleId="textearticle">
    <w:name w:val="texte_article"/>
    <w:basedOn w:val="Policepardfaut"/>
    <w:rsid w:val="00156246"/>
  </w:style>
  <w:style w:type="paragraph" w:styleId="NormalWeb">
    <w:name w:val="Normal (Web)"/>
    <w:basedOn w:val="Normal"/>
    <w:uiPriority w:val="99"/>
    <w:semiHidden/>
    <w:unhideWhenUsed/>
    <w:rsid w:val="00AD0E7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D0E7A"/>
    <w:rPr>
      <w:b/>
      <w:bCs/>
    </w:rPr>
  </w:style>
  <w:style w:type="table" w:styleId="Grilleclaire-Accent2">
    <w:name w:val="Light Grid Accent 2"/>
    <w:basedOn w:val="TableauNormal"/>
    <w:uiPriority w:val="62"/>
    <w:rsid w:val="00F128A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ParagraphedelisteCar">
    <w:name w:val="Paragraphe de liste Car"/>
    <w:basedOn w:val="Policepardfaut"/>
    <w:link w:val="Paragraphedeliste"/>
    <w:uiPriority w:val="34"/>
    <w:rsid w:val="003311E4"/>
    <w:rPr>
      <w:lang w:val="en-GB"/>
    </w:rPr>
  </w:style>
</w:styles>
</file>

<file path=word/webSettings.xml><?xml version="1.0" encoding="utf-8"?>
<w:webSettings xmlns:r="http://schemas.openxmlformats.org/officeDocument/2006/relationships" xmlns:w="http://schemas.openxmlformats.org/wordprocessingml/2006/main">
  <w:divs>
    <w:div w:id="12415117">
      <w:bodyDiv w:val="1"/>
      <w:marLeft w:val="0"/>
      <w:marRight w:val="0"/>
      <w:marTop w:val="0"/>
      <w:marBottom w:val="0"/>
      <w:divBdr>
        <w:top w:val="none" w:sz="0" w:space="0" w:color="auto"/>
        <w:left w:val="none" w:sz="0" w:space="0" w:color="auto"/>
        <w:bottom w:val="none" w:sz="0" w:space="0" w:color="auto"/>
        <w:right w:val="none" w:sz="0" w:space="0" w:color="auto"/>
      </w:divBdr>
    </w:div>
    <w:div w:id="142507280">
      <w:bodyDiv w:val="1"/>
      <w:marLeft w:val="0"/>
      <w:marRight w:val="0"/>
      <w:marTop w:val="0"/>
      <w:marBottom w:val="0"/>
      <w:divBdr>
        <w:top w:val="none" w:sz="0" w:space="0" w:color="auto"/>
        <w:left w:val="none" w:sz="0" w:space="0" w:color="auto"/>
        <w:bottom w:val="none" w:sz="0" w:space="0" w:color="auto"/>
        <w:right w:val="none" w:sz="0" w:space="0" w:color="auto"/>
      </w:divBdr>
    </w:div>
    <w:div w:id="158427725">
      <w:bodyDiv w:val="1"/>
      <w:marLeft w:val="0"/>
      <w:marRight w:val="0"/>
      <w:marTop w:val="0"/>
      <w:marBottom w:val="0"/>
      <w:divBdr>
        <w:top w:val="none" w:sz="0" w:space="0" w:color="auto"/>
        <w:left w:val="none" w:sz="0" w:space="0" w:color="auto"/>
        <w:bottom w:val="none" w:sz="0" w:space="0" w:color="auto"/>
        <w:right w:val="none" w:sz="0" w:space="0" w:color="auto"/>
      </w:divBdr>
      <w:divsChild>
        <w:div w:id="1194270437">
          <w:marLeft w:val="0"/>
          <w:marRight w:val="0"/>
          <w:marTop w:val="0"/>
          <w:marBottom w:val="0"/>
          <w:divBdr>
            <w:top w:val="none" w:sz="0" w:space="0" w:color="auto"/>
            <w:left w:val="none" w:sz="0" w:space="0" w:color="auto"/>
            <w:bottom w:val="none" w:sz="0" w:space="0" w:color="auto"/>
            <w:right w:val="none" w:sz="0" w:space="0" w:color="auto"/>
          </w:divBdr>
        </w:div>
        <w:div w:id="1357003641">
          <w:marLeft w:val="0"/>
          <w:marRight w:val="0"/>
          <w:marTop w:val="0"/>
          <w:marBottom w:val="0"/>
          <w:divBdr>
            <w:top w:val="none" w:sz="0" w:space="0" w:color="auto"/>
            <w:left w:val="none" w:sz="0" w:space="0" w:color="auto"/>
            <w:bottom w:val="none" w:sz="0" w:space="0" w:color="auto"/>
            <w:right w:val="none" w:sz="0" w:space="0" w:color="auto"/>
          </w:divBdr>
        </w:div>
        <w:div w:id="896163066">
          <w:marLeft w:val="0"/>
          <w:marRight w:val="0"/>
          <w:marTop w:val="0"/>
          <w:marBottom w:val="0"/>
          <w:divBdr>
            <w:top w:val="none" w:sz="0" w:space="0" w:color="auto"/>
            <w:left w:val="none" w:sz="0" w:space="0" w:color="auto"/>
            <w:bottom w:val="none" w:sz="0" w:space="0" w:color="auto"/>
            <w:right w:val="none" w:sz="0" w:space="0" w:color="auto"/>
          </w:divBdr>
        </w:div>
        <w:div w:id="2142309008">
          <w:marLeft w:val="0"/>
          <w:marRight w:val="0"/>
          <w:marTop w:val="0"/>
          <w:marBottom w:val="0"/>
          <w:divBdr>
            <w:top w:val="none" w:sz="0" w:space="0" w:color="auto"/>
            <w:left w:val="none" w:sz="0" w:space="0" w:color="auto"/>
            <w:bottom w:val="none" w:sz="0" w:space="0" w:color="auto"/>
            <w:right w:val="none" w:sz="0" w:space="0" w:color="auto"/>
          </w:divBdr>
        </w:div>
        <w:div w:id="1294365054">
          <w:marLeft w:val="0"/>
          <w:marRight w:val="0"/>
          <w:marTop w:val="0"/>
          <w:marBottom w:val="0"/>
          <w:divBdr>
            <w:top w:val="none" w:sz="0" w:space="0" w:color="auto"/>
            <w:left w:val="none" w:sz="0" w:space="0" w:color="auto"/>
            <w:bottom w:val="none" w:sz="0" w:space="0" w:color="auto"/>
            <w:right w:val="none" w:sz="0" w:space="0" w:color="auto"/>
          </w:divBdr>
        </w:div>
        <w:div w:id="485632265">
          <w:marLeft w:val="0"/>
          <w:marRight w:val="0"/>
          <w:marTop w:val="0"/>
          <w:marBottom w:val="0"/>
          <w:divBdr>
            <w:top w:val="none" w:sz="0" w:space="0" w:color="auto"/>
            <w:left w:val="none" w:sz="0" w:space="0" w:color="auto"/>
            <w:bottom w:val="none" w:sz="0" w:space="0" w:color="auto"/>
            <w:right w:val="none" w:sz="0" w:space="0" w:color="auto"/>
          </w:divBdr>
        </w:div>
        <w:div w:id="1346130303">
          <w:marLeft w:val="0"/>
          <w:marRight w:val="0"/>
          <w:marTop w:val="0"/>
          <w:marBottom w:val="0"/>
          <w:divBdr>
            <w:top w:val="none" w:sz="0" w:space="0" w:color="auto"/>
            <w:left w:val="none" w:sz="0" w:space="0" w:color="auto"/>
            <w:bottom w:val="none" w:sz="0" w:space="0" w:color="auto"/>
            <w:right w:val="none" w:sz="0" w:space="0" w:color="auto"/>
          </w:divBdr>
        </w:div>
      </w:divsChild>
    </w:div>
    <w:div w:id="573781780">
      <w:bodyDiv w:val="1"/>
      <w:marLeft w:val="0"/>
      <w:marRight w:val="0"/>
      <w:marTop w:val="0"/>
      <w:marBottom w:val="0"/>
      <w:divBdr>
        <w:top w:val="none" w:sz="0" w:space="0" w:color="auto"/>
        <w:left w:val="none" w:sz="0" w:space="0" w:color="auto"/>
        <w:bottom w:val="none" w:sz="0" w:space="0" w:color="auto"/>
        <w:right w:val="none" w:sz="0" w:space="0" w:color="auto"/>
      </w:divBdr>
      <w:divsChild>
        <w:div w:id="1177622741">
          <w:marLeft w:val="0"/>
          <w:marRight w:val="0"/>
          <w:marTop w:val="0"/>
          <w:marBottom w:val="0"/>
          <w:divBdr>
            <w:top w:val="none" w:sz="0" w:space="0" w:color="auto"/>
            <w:left w:val="none" w:sz="0" w:space="0" w:color="auto"/>
            <w:bottom w:val="none" w:sz="0" w:space="0" w:color="auto"/>
            <w:right w:val="none" w:sz="0" w:space="0" w:color="auto"/>
          </w:divBdr>
          <w:divsChild>
            <w:div w:id="1442994443">
              <w:marLeft w:val="0"/>
              <w:marRight w:val="0"/>
              <w:marTop w:val="0"/>
              <w:marBottom w:val="0"/>
              <w:divBdr>
                <w:top w:val="none" w:sz="0" w:space="0" w:color="auto"/>
                <w:left w:val="none" w:sz="0" w:space="0" w:color="auto"/>
                <w:bottom w:val="none" w:sz="0" w:space="0" w:color="auto"/>
                <w:right w:val="none" w:sz="0" w:space="0" w:color="auto"/>
              </w:divBdr>
            </w:div>
            <w:div w:id="326831644">
              <w:marLeft w:val="0"/>
              <w:marRight w:val="0"/>
              <w:marTop w:val="0"/>
              <w:marBottom w:val="0"/>
              <w:divBdr>
                <w:top w:val="none" w:sz="0" w:space="0" w:color="auto"/>
                <w:left w:val="none" w:sz="0" w:space="0" w:color="auto"/>
                <w:bottom w:val="none" w:sz="0" w:space="0" w:color="auto"/>
                <w:right w:val="none" w:sz="0" w:space="0" w:color="auto"/>
              </w:divBdr>
            </w:div>
            <w:div w:id="1597205300">
              <w:marLeft w:val="0"/>
              <w:marRight w:val="0"/>
              <w:marTop w:val="0"/>
              <w:marBottom w:val="0"/>
              <w:divBdr>
                <w:top w:val="none" w:sz="0" w:space="0" w:color="auto"/>
                <w:left w:val="none" w:sz="0" w:space="0" w:color="auto"/>
                <w:bottom w:val="none" w:sz="0" w:space="0" w:color="auto"/>
                <w:right w:val="none" w:sz="0" w:space="0" w:color="auto"/>
              </w:divBdr>
            </w:div>
            <w:div w:id="1114980110">
              <w:marLeft w:val="0"/>
              <w:marRight w:val="0"/>
              <w:marTop w:val="0"/>
              <w:marBottom w:val="0"/>
              <w:divBdr>
                <w:top w:val="none" w:sz="0" w:space="0" w:color="auto"/>
                <w:left w:val="none" w:sz="0" w:space="0" w:color="auto"/>
                <w:bottom w:val="none" w:sz="0" w:space="0" w:color="auto"/>
                <w:right w:val="none" w:sz="0" w:space="0" w:color="auto"/>
              </w:divBdr>
            </w:div>
            <w:div w:id="365178859">
              <w:marLeft w:val="0"/>
              <w:marRight w:val="0"/>
              <w:marTop w:val="0"/>
              <w:marBottom w:val="0"/>
              <w:divBdr>
                <w:top w:val="none" w:sz="0" w:space="0" w:color="auto"/>
                <w:left w:val="none" w:sz="0" w:space="0" w:color="auto"/>
                <w:bottom w:val="none" w:sz="0" w:space="0" w:color="auto"/>
                <w:right w:val="none" w:sz="0" w:space="0" w:color="auto"/>
              </w:divBdr>
            </w:div>
            <w:div w:id="1786775977">
              <w:marLeft w:val="0"/>
              <w:marRight w:val="0"/>
              <w:marTop w:val="0"/>
              <w:marBottom w:val="0"/>
              <w:divBdr>
                <w:top w:val="none" w:sz="0" w:space="0" w:color="auto"/>
                <w:left w:val="none" w:sz="0" w:space="0" w:color="auto"/>
                <w:bottom w:val="none" w:sz="0" w:space="0" w:color="auto"/>
                <w:right w:val="none" w:sz="0" w:space="0" w:color="auto"/>
              </w:divBdr>
            </w:div>
            <w:div w:id="476727590">
              <w:marLeft w:val="0"/>
              <w:marRight w:val="0"/>
              <w:marTop w:val="0"/>
              <w:marBottom w:val="0"/>
              <w:divBdr>
                <w:top w:val="none" w:sz="0" w:space="0" w:color="auto"/>
                <w:left w:val="none" w:sz="0" w:space="0" w:color="auto"/>
                <w:bottom w:val="none" w:sz="0" w:space="0" w:color="auto"/>
                <w:right w:val="none" w:sz="0" w:space="0" w:color="auto"/>
              </w:divBdr>
            </w:div>
            <w:div w:id="1234896111">
              <w:marLeft w:val="0"/>
              <w:marRight w:val="0"/>
              <w:marTop w:val="0"/>
              <w:marBottom w:val="0"/>
              <w:divBdr>
                <w:top w:val="none" w:sz="0" w:space="0" w:color="auto"/>
                <w:left w:val="none" w:sz="0" w:space="0" w:color="auto"/>
                <w:bottom w:val="none" w:sz="0" w:space="0" w:color="auto"/>
                <w:right w:val="none" w:sz="0" w:space="0" w:color="auto"/>
              </w:divBdr>
            </w:div>
            <w:div w:id="1527715785">
              <w:marLeft w:val="0"/>
              <w:marRight w:val="0"/>
              <w:marTop w:val="0"/>
              <w:marBottom w:val="0"/>
              <w:divBdr>
                <w:top w:val="none" w:sz="0" w:space="0" w:color="auto"/>
                <w:left w:val="none" w:sz="0" w:space="0" w:color="auto"/>
                <w:bottom w:val="none" w:sz="0" w:space="0" w:color="auto"/>
                <w:right w:val="none" w:sz="0" w:space="0" w:color="auto"/>
              </w:divBdr>
            </w:div>
            <w:div w:id="2055421485">
              <w:marLeft w:val="0"/>
              <w:marRight w:val="0"/>
              <w:marTop w:val="0"/>
              <w:marBottom w:val="0"/>
              <w:divBdr>
                <w:top w:val="none" w:sz="0" w:space="0" w:color="auto"/>
                <w:left w:val="none" w:sz="0" w:space="0" w:color="auto"/>
                <w:bottom w:val="none" w:sz="0" w:space="0" w:color="auto"/>
                <w:right w:val="none" w:sz="0" w:space="0" w:color="auto"/>
              </w:divBdr>
            </w:div>
            <w:div w:id="1530534641">
              <w:marLeft w:val="0"/>
              <w:marRight w:val="0"/>
              <w:marTop w:val="0"/>
              <w:marBottom w:val="0"/>
              <w:divBdr>
                <w:top w:val="none" w:sz="0" w:space="0" w:color="auto"/>
                <w:left w:val="none" w:sz="0" w:space="0" w:color="auto"/>
                <w:bottom w:val="none" w:sz="0" w:space="0" w:color="auto"/>
                <w:right w:val="none" w:sz="0" w:space="0" w:color="auto"/>
              </w:divBdr>
            </w:div>
            <w:div w:id="781995607">
              <w:marLeft w:val="0"/>
              <w:marRight w:val="0"/>
              <w:marTop w:val="0"/>
              <w:marBottom w:val="0"/>
              <w:divBdr>
                <w:top w:val="none" w:sz="0" w:space="0" w:color="auto"/>
                <w:left w:val="none" w:sz="0" w:space="0" w:color="auto"/>
                <w:bottom w:val="none" w:sz="0" w:space="0" w:color="auto"/>
                <w:right w:val="none" w:sz="0" w:space="0" w:color="auto"/>
              </w:divBdr>
            </w:div>
            <w:div w:id="41685050">
              <w:marLeft w:val="0"/>
              <w:marRight w:val="0"/>
              <w:marTop w:val="0"/>
              <w:marBottom w:val="0"/>
              <w:divBdr>
                <w:top w:val="none" w:sz="0" w:space="0" w:color="auto"/>
                <w:left w:val="none" w:sz="0" w:space="0" w:color="auto"/>
                <w:bottom w:val="none" w:sz="0" w:space="0" w:color="auto"/>
                <w:right w:val="none" w:sz="0" w:space="0" w:color="auto"/>
              </w:divBdr>
            </w:div>
            <w:div w:id="151869630">
              <w:marLeft w:val="0"/>
              <w:marRight w:val="0"/>
              <w:marTop w:val="0"/>
              <w:marBottom w:val="0"/>
              <w:divBdr>
                <w:top w:val="none" w:sz="0" w:space="0" w:color="auto"/>
                <w:left w:val="none" w:sz="0" w:space="0" w:color="auto"/>
                <w:bottom w:val="none" w:sz="0" w:space="0" w:color="auto"/>
                <w:right w:val="none" w:sz="0" w:space="0" w:color="auto"/>
              </w:divBdr>
            </w:div>
            <w:div w:id="198249166">
              <w:marLeft w:val="0"/>
              <w:marRight w:val="0"/>
              <w:marTop w:val="0"/>
              <w:marBottom w:val="0"/>
              <w:divBdr>
                <w:top w:val="none" w:sz="0" w:space="0" w:color="auto"/>
                <w:left w:val="none" w:sz="0" w:space="0" w:color="auto"/>
                <w:bottom w:val="none" w:sz="0" w:space="0" w:color="auto"/>
                <w:right w:val="none" w:sz="0" w:space="0" w:color="auto"/>
              </w:divBdr>
            </w:div>
            <w:div w:id="2143305770">
              <w:marLeft w:val="0"/>
              <w:marRight w:val="0"/>
              <w:marTop w:val="0"/>
              <w:marBottom w:val="0"/>
              <w:divBdr>
                <w:top w:val="none" w:sz="0" w:space="0" w:color="auto"/>
                <w:left w:val="none" w:sz="0" w:space="0" w:color="auto"/>
                <w:bottom w:val="none" w:sz="0" w:space="0" w:color="auto"/>
                <w:right w:val="none" w:sz="0" w:space="0" w:color="auto"/>
              </w:divBdr>
            </w:div>
            <w:div w:id="717584869">
              <w:marLeft w:val="0"/>
              <w:marRight w:val="0"/>
              <w:marTop w:val="0"/>
              <w:marBottom w:val="0"/>
              <w:divBdr>
                <w:top w:val="none" w:sz="0" w:space="0" w:color="auto"/>
                <w:left w:val="none" w:sz="0" w:space="0" w:color="auto"/>
                <w:bottom w:val="none" w:sz="0" w:space="0" w:color="auto"/>
                <w:right w:val="none" w:sz="0" w:space="0" w:color="auto"/>
              </w:divBdr>
            </w:div>
            <w:div w:id="1617834795">
              <w:marLeft w:val="0"/>
              <w:marRight w:val="0"/>
              <w:marTop w:val="0"/>
              <w:marBottom w:val="0"/>
              <w:divBdr>
                <w:top w:val="none" w:sz="0" w:space="0" w:color="auto"/>
                <w:left w:val="none" w:sz="0" w:space="0" w:color="auto"/>
                <w:bottom w:val="none" w:sz="0" w:space="0" w:color="auto"/>
                <w:right w:val="none" w:sz="0" w:space="0" w:color="auto"/>
              </w:divBdr>
            </w:div>
            <w:div w:id="435369778">
              <w:marLeft w:val="0"/>
              <w:marRight w:val="0"/>
              <w:marTop w:val="0"/>
              <w:marBottom w:val="0"/>
              <w:divBdr>
                <w:top w:val="none" w:sz="0" w:space="0" w:color="auto"/>
                <w:left w:val="none" w:sz="0" w:space="0" w:color="auto"/>
                <w:bottom w:val="none" w:sz="0" w:space="0" w:color="auto"/>
                <w:right w:val="none" w:sz="0" w:space="0" w:color="auto"/>
              </w:divBdr>
            </w:div>
            <w:div w:id="348532905">
              <w:marLeft w:val="0"/>
              <w:marRight w:val="0"/>
              <w:marTop w:val="0"/>
              <w:marBottom w:val="0"/>
              <w:divBdr>
                <w:top w:val="none" w:sz="0" w:space="0" w:color="auto"/>
                <w:left w:val="none" w:sz="0" w:space="0" w:color="auto"/>
                <w:bottom w:val="none" w:sz="0" w:space="0" w:color="auto"/>
                <w:right w:val="none" w:sz="0" w:space="0" w:color="auto"/>
              </w:divBdr>
            </w:div>
            <w:div w:id="1729455645">
              <w:marLeft w:val="0"/>
              <w:marRight w:val="0"/>
              <w:marTop w:val="0"/>
              <w:marBottom w:val="0"/>
              <w:divBdr>
                <w:top w:val="none" w:sz="0" w:space="0" w:color="auto"/>
                <w:left w:val="none" w:sz="0" w:space="0" w:color="auto"/>
                <w:bottom w:val="none" w:sz="0" w:space="0" w:color="auto"/>
                <w:right w:val="none" w:sz="0" w:space="0" w:color="auto"/>
              </w:divBdr>
            </w:div>
            <w:div w:id="466313254">
              <w:marLeft w:val="0"/>
              <w:marRight w:val="0"/>
              <w:marTop w:val="0"/>
              <w:marBottom w:val="0"/>
              <w:divBdr>
                <w:top w:val="none" w:sz="0" w:space="0" w:color="auto"/>
                <w:left w:val="none" w:sz="0" w:space="0" w:color="auto"/>
                <w:bottom w:val="none" w:sz="0" w:space="0" w:color="auto"/>
                <w:right w:val="none" w:sz="0" w:space="0" w:color="auto"/>
              </w:divBdr>
            </w:div>
            <w:div w:id="797266011">
              <w:marLeft w:val="0"/>
              <w:marRight w:val="0"/>
              <w:marTop w:val="0"/>
              <w:marBottom w:val="0"/>
              <w:divBdr>
                <w:top w:val="none" w:sz="0" w:space="0" w:color="auto"/>
                <w:left w:val="none" w:sz="0" w:space="0" w:color="auto"/>
                <w:bottom w:val="none" w:sz="0" w:space="0" w:color="auto"/>
                <w:right w:val="none" w:sz="0" w:space="0" w:color="auto"/>
              </w:divBdr>
            </w:div>
            <w:div w:id="1645113943">
              <w:marLeft w:val="0"/>
              <w:marRight w:val="0"/>
              <w:marTop w:val="0"/>
              <w:marBottom w:val="0"/>
              <w:divBdr>
                <w:top w:val="none" w:sz="0" w:space="0" w:color="auto"/>
                <w:left w:val="none" w:sz="0" w:space="0" w:color="auto"/>
                <w:bottom w:val="none" w:sz="0" w:space="0" w:color="auto"/>
                <w:right w:val="none" w:sz="0" w:space="0" w:color="auto"/>
              </w:divBdr>
            </w:div>
            <w:div w:id="359748282">
              <w:marLeft w:val="0"/>
              <w:marRight w:val="0"/>
              <w:marTop w:val="0"/>
              <w:marBottom w:val="0"/>
              <w:divBdr>
                <w:top w:val="none" w:sz="0" w:space="0" w:color="auto"/>
                <w:left w:val="none" w:sz="0" w:space="0" w:color="auto"/>
                <w:bottom w:val="none" w:sz="0" w:space="0" w:color="auto"/>
                <w:right w:val="none" w:sz="0" w:space="0" w:color="auto"/>
              </w:divBdr>
            </w:div>
            <w:div w:id="926841888">
              <w:marLeft w:val="0"/>
              <w:marRight w:val="0"/>
              <w:marTop w:val="0"/>
              <w:marBottom w:val="0"/>
              <w:divBdr>
                <w:top w:val="none" w:sz="0" w:space="0" w:color="auto"/>
                <w:left w:val="none" w:sz="0" w:space="0" w:color="auto"/>
                <w:bottom w:val="none" w:sz="0" w:space="0" w:color="auto"/>
                <w:right w:val="none" w:sz="0" w:space="0" w:color="auto"/>
              </w:divBdr>
            </w:div>
            <w:div w:id="118963902">
              <w:marLeft w:val="0"/>
              <w:marRight w:val="0"/>
              <w:marTop w:val="0"/>
              <w:marBottom w:val="0"/>
              <w:divBdr>
                <w:top w:val="none" w:sz="0" w:space="0" w:color="auto"/>
                <w:left w:val="none" w:sz="0" w:space="0" w:color="auto"/>
                <w:bottom w:val="none" w:sz="0" w:space="0" w:color="auto"/>
                <w:right w:val="none" w:sz="0" w:space="0" w:color="auto"/>
              </w:divBdr>
            </w:div>
            <w:div w:id="573589073">
              <w:marLeft w:val="0"/>
              <w:marRight w:val="0"/>
              <w:marTop w:val="0"/>
              <w:marBottom w:val="0"/>
              <w:divBdr>
                <w:top w:val="none" w:sz="0" w:space="0" w:color="auto"/>
                <w:left w:val="none" w:sz="0" w:space="0" w:color="auto"/>
                <w:bottom w:val="none" w:sz="0" w:space="0" w:color="auto"/>
                <w:right w:val="none" w:sz="0" w:space="0" w:color="auto"/>
              </w:divBdr>
            </w:div>
            <w:div w:id="1012337924">
              <w:marLeft w:val="0"/>
              <w:marRight w:val="0"/>
              <w:marTop w:val="0"/>
              <w:marBottom w:val="0"/>
              <w:divBdr>
                <w:top w:val="none" w:sz="0" w:space="0" w:color="auto"/>
                <w:left w:val="none" w:sz="0" w:space="0" w:color="auto"/>
                <w:bottom w:val="none" w:sz="0" w:space="0" w:color="auto"/>
                <w:right w:val="none" w:sz="0" w:space="0" w:color="auto"/>
              </w:divBdr>
            </w:div>
            <w:div w:id="1801722892">
              <w:marLeft w:val="0"/>
              <w:marRight w:val="0"/>
              <w:marTop w:val="0"/>
              <w:marBottom w:val="0"/>
              <w:divBdr>
                <w:top w:val="none" w:sz="0" w:space="0" w:color="auto"/>
                <w:left w:val="none" w:sz="0" w:space="0" w:color="auto"/>
                <w:bottom w:val="none" w:sz="0" w:space="0" w:color="auto"/>
                <w:right w:val="none" w:sz="0" w:space="0" w:color="auto"/>
              </w:divBdr>
            </w:div>
            <w:div w:id="2026863820">
              <w:marLeft w:val="0"/>
              <w:marRight w:val="0"/>
              <w:marTop w:val="0"/>
              <w:marBottom w:val="0"/>
              <w:divBdr>
                <w:top w:val="none" w:sz="0" w:space="0" w:color="auto"/>
                <w:left w:val="none" w:sz="0" w:space="0" w:color="auto"/>
                <w:bottom w:val="none" w:sz="0" w:space="0" w:color="auto"/>
                <w:right w:val="none" w:sz="0" w:space="0" w:color="auto"/>
              </w:divBdr>
            </w:div>
            <w:div w:id="1478260793">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839655801">
              <w:marLeft w:val="0"/>
              <w:marRight w:val="0"/>
              <w:marTop w:val="0"/>
              <w:marBottom w:val="0"/>
              <w:divBdr>
                <w:top w:val="none" w:sz="0" w:space="0" w:color="auto"/>
                <w:left w:val="none" w:sz="0" w:space="0" w:color="auto"/>
                <w:bottom w:val="none" w:sz="0" w:space="0" w:color="auto"/>
                <w:right w:val="none" w:sz="0" w:space="0" w:color="auto"/>
              </w:divBdr>
            </w:div>
            <w:div w:id="852577391">
              <w:marLeft w:val="0"/>
              <w:marRight w:val="0"/>
              <w:marTop w:val="0"/>
              <w:marBottom w:val="0"/>
              <w:divBdr>
                <w:top w:val="none" w:sz="0" w:space="0" w:color="auto"/>
                <w:left w:val="none" w:sz="0" w:space="0" w:color="auto"/>
                <w:bottom w:val="none" w:sz="0" w:space="0" w:color="auto"/>
                <w:right w:val="none" w:sz="0" w:space="0" w:color="auto"/>
              </w:divBdr>
            </w:div>
            <w:div w:id="1589583560">
              <w:marLeft w:val="0"/>
              <w:marRight w:val="0"/>
              <w:marTop w:val="0"/>
              <w:marBottom w:val="0"/>
              <w:divBdr>
                <w:top w:val="none" w:sz="0" w:space="0" w:color="auto"/>
                <w:left w:val="none" w:sz="0" w:space="0" w:color="auto"/>
                <w:bottom w:val="none" w:sz="0" w:space="0" w:color="auto"/>
                <w:right w:val="none" w:sz="0" w:space="0" w:color="auto"/>
              </w:divBdr>
            </w:div>
            <w:div w:id="1841968000">
              <w:marLeft w:val="0"/>
              <w:marRight w:val="0"/>
              <w:marTop w:val="0"/>
              <w:marBottom w:val="0"/>
              <w:divBdr>
                <w:top w:val="none" w:sz="0" w:space="0" w:color="auto"/>
                <w:left w:val="none" w:sz="0" w:space="0" w:color="auto"/>
                <w:bottom w:val="none" w:sz="0" w:space="0" w:color="auto"/>
                <w:right w:val="none" w:sz="0" w:space="0" w:color="auto"/>
              </w:divBdr>
            </w:div>
            <w:div w:id="1278754162">
              <w:marLeft w:val="0"/>
              <w:marRight w:val="0"/>
              <w:marTop w:val="0"/>
              <w:marBottom w:val="0"/>
              <w:divBdr>
                <w:top w:val="none" w:sz="0" w:space="0" w:color="auto"/>
                <w:left w:val="none" w:sz="0" w:space="0" w:color="auto"/>
                <w:bottom w:val="none" w:sz="0" w:space="0" w:color="auto"/>
                <w:right w:val="none" w:sz="0" w:space="0" w:color="auto"/>
              </w:divBdr>
            </w:div>
            <w:div w:id="1314137054">
              <w:marLeft w:val="0"/>
              <w:marRight w:val="0"/>
              <w:marTop w:val="0"/>
              <w:marBottom w:val="0"/>
              <w:divBdr>
                <w:top w:val="none" w:sz="0" w:space="0" w:color="auto"/>
                <w:left w:val="none" w:sz="0" w:space="0" w:color="auto"/>
                <w:bottom w:val="none" w:sz="0" w:space="0" w:color="auto"/>
                <w:right w:val="none" w:sz="0" w:space="0" w:color="auto"/>
              </w:divBdr>
            </w:div>
            <w:div w:id="2143575509">
              <w:marLeft w:val="0"/>
              <w:marRight w:val="0"/>
              <w:marTop w:val="0"/>
              <w:marBottom w:val="0"/>
              <w:divBdr>
                <w:top w:val="none" w:sz="0" w:space="0" w:color="auto"/>
                <w:left w:val="none" w:sz="0" w:space="0" w:color="auto"/>
                <w:bottom w:val="none" w:sz="0" w:space="0" w:color="auto"/>
                <w:right w:val="none" w:sz="0" w:space="0" w:color="auto"/>
              </w:divBdr>
            </w:div>
            <w:div w:id="1349255718">
              <w:marLeft w:val="0"/>
              <w:marRight w:val="0"/>
              <w:marTop w:val="0"/>
              <w:marBottom w:val="0"/>
              <w:divBdr>
                <w:top w:val="none" w:sz="0" w:space="0" w:color="auto"/>
                <w:left w:val="none" w:sz="0" w:space="0" w:color="auto"/>
                <w:bottom w:val="none" w:sz="0" w:space="0" w:color="auto"/>
                <w:right w:val="none" w:sz="0" w:space="0" w:color="auto"/>
              </w:divBdr>
            </w:div>
            <w:div w:id="61367015">
              <w:marLeft w:val="0"/>
              <w:marRight w:val="0"/>
              <w:marTop w:val="0"/>
              <w:marBottom w:val="0"/>
              <w:divBdr>
                <w:top w:val="none" w:sz="0" w:space="0" w:color="auto"/>
                <w:left w:val="none" w:sz="0" w:space="0" w:color="auto"/>
                <w:bottom w:val="none" w:sz="0" w:space="0" w:color="auto"/>
                <w:right w:val="none" w:sz="0" w:space="0" w:color="auto"/>
              </w:divBdr>
            </w:div>
            <w:div w:id="1572885200">
              <w:marLeft w:val="0"/>
              <w:marRight w:val="0"/>
              <w:marTop w:val="0"/>
              <w:marBottom w:val="0"/>
              <w:divBdr>
                <w:top w:val="none" w:sz="0" w:space="0" w:color="auto"/>
                <w:left w:val="none" w:sz="0" w:space="0" w:color="auto"/>
                <w:bottom w:val="none" w:sz="0" w:space="0" w:color="auto"/>
                <w:right w:val="none" w:sz="0" w:space="0" w:color="auto"/>
              </w:divBdr>
            </w:div>
            <w:div w:id="462819441">
              <w:marLeft w:val="0"/>
              <w:marRight w:val="0"/>
              <w:marTop w:val="0"/>
              <w:marBottom w:val="0"/>
              <w:divBdr>
                <w:top w:val="none" w:sz="0" w:space="0" w:color="auto"/>
                <w:left w:val="none" w:sz="0" w:space="0" w:color="auto"/>
                <w:bottom w:val="none" w:sz="0" w:space="0" w:color="auto"/>
                <w:right w:val="none" w:sz="0" w:space="0" w:color="auto"/>
              </w:divBdr>
            </w:div>
            <w:div w:id="991643303">
              <w:marLeft w:val="0"/>
              <w:marRight w:val="0"/>
              <w:marTop w:val="0"/>
              <w:marBottom w:val="0"/>
              <w:divBdr>
                <w:top w:val="none" w:sz="0" w:space="0" w:color="auto"/>
                <w:left w:val="none" w:sz="0" w:space="0" w:color="auto"/>
                <w:bottom w:val="none" w:sz="0" w:space="0" w:color="auto"/>
                <w:right w:val="none" w:sz="0" w:space="0" w:color="auto"/>
              </w:divBdr>
            </w:div>
            <w:div w:id="144974114">
              <w:marLeft w:val="0"/>
              <w:marRight w:val="0"/>
              <w:marTop w:val="0"/>
              <w:marBottom w:val="0"/>
              <w:divBdr>
                <w:top w:val="none" w:sz="0" w:space="0" w:color="auto"/>
                <w:left w:val="none" w:sz="0" w:space="0" w:color="auto"/>
                <w:bottom w:val="none" w:sz="0" w:space="0" w:color="auto"/>
                <w:right w:val="none" w:sz="0" w:space="0" w:color="auto"/>
              </w:divBdr>
            </w:div>
            <w:div w:id="824127241">
              <w:marLeft w:val="0"/>
              <w:marRight w:val="0"/>
              <w:marTop w:val="0"/>
              <w:marBottom w:val="0"/>
              <w:divBdr>
                <w:top w:val="none" w:sz="0" w:space="0" w:color="auto"/>
                <w:left w:val="none" w:sz="0" w:space="0" w:color="auto"/>
                <w:bottom w:val="none" w:sz="0" w:space="0" w:color="auto"/>
                <w:right w:val="none" w:sz="0" w:space="0" w:color="auto"/>
              </w:divBdr>
            </w:div>
            <w:div w:id="2036996046">
              <w:marLeft w:val="0"/>
              <w:marRight w:val="0"/>
              <w:marTop w:val="0"/>
              <w:marBottom w:val="0"/>
              <w:divBdr>
                <w:top w:val="none" w:sz="0" w:space="0" w:color="auto"/>
                <w:left w:val="none" w:sz="0" w:space="0" w:color="auto"/>
                <w:bottom w:val="none" w:sz="0" w:space="0" w:color="auto"/>
                <w:right w:val="none" w:sz="0" w:space="0" w:color="auto"/>
              </w:divBdr>
            </w:div>
            <w:div w:id="1009336351">
              <w:marLeft w:val="0"/>
              <w:marRight w:val="0"/>
              <w:marTop w:val="0"/>
              <w:marBottom w:val="0"/>
              <w:divBdr>
                <w:top w:val="none" w:sz="0" w:space="0" w:color="auto"/>
                <w:left w:val="none" w:sz="0" w:space="0" w:color="auto"/>
                <w:bottom w:val="none" w:sz="0" w:space="0" w:color="auto"/>
                <w:right w:val="none" w:sz="0" w:space="0" w:color="auto"/>
              </w:divBdr>
            </w:div>
            <w:div w:id="208424823">
              <w:marLeft w:val="0"/>
              <w:marRight w:val="0"/>
              <w:marTop w:val="0"/>
              <w:marBottom w:val="0"/>
              <w:divBdr>
                <w:top w:val="none" w:sz="0" w:space="0" w:color="auto"/>
                <w:left w:val="none" w:sz="0" w:space="0" w:color="auto"/>
                <w:bottom w:val="none" w:sz="0" w:space="0" w:color="auto"/>
                <w:right w:val="none" w:sz="0" w:space="0" w:color="auto"/>
              </w:divBdr>
            </w:div>
            <w:div w:id="865144595">
              <w:marLeft w:val="0"/>
              <w:marRight w:val="0"/>
              <w:marTop w:val="0"/>
              <w:marBottom w:val="0"/>
              <w:divBdr>
                <w:top w:val="none" w:sz="0" w:space="0" w:color="auto"/>
                <w:left w:val="none" w:sz="0" w:space="0" w:color="auto"/>
                <w:bottom w:val="none" w:sz="0" w:space="0" w:color="auto"/>
                <w:right w:val="none" w:sz="0" w:space="0" w:color="auto"/>
              </w:divBdr>
            </w:div>
            <w:div w:id="1516922653">
              <w:marLeft w:val="0"/>
              <w:marRight w:val="0"/>
              <w:marTop w:val="0"/>
              <w:marBottom w:val="0"/>
              <w:divBdr>
                <w:top w:val="none" w:sz="0" w:space="0" w:color="auto"/>
                <w:left w:val="none" w:sz="0" w:space="0" w:color="auto"/>
                <w:bottom w:val="none" w:sz="0" w:space="0" w:color="auto"/>
                <w:right w:val="none" w:sz="0" w:space="0" w:color="auto"/>
              </w:divBdr>
            </w:div>
            <w:div w:id="1785269504">
              <w:marLeft w:val="0"/>
              <w:marRight w:val="0"/>
              <w:marTop w:val="0"/>
              <w:marBottom w:val="0"/>
              <w:divBdr>
                <w:top w:val="none" w:sz="0" w:space="0" w:color="auto"/>
                <w:left w:val="none" w:sz="0" w:space="0" w:color="auto"/>
                <w:bottom w:val="none" w:sz="0" w:space="0" w:color="auto"/>
                <w:right w:val="none" w:sz="0" w:space="0" w:color="auto"/>
              </w:divBdr>
            </w:div>
            <w:div w:id="891620615">
              <w:marLeft w:val="0"/>
              <w:marRight w:val="0"/>
              <w:marTop w:val="0"/>
              <w:marBottom w:val="0"/>
              <w:divBdr>
                <w:top w:val="none" w:sz="0" w:space="0" w:color="auto"/>
                <w:left w:val="none" w:sz="0" w:space="0" w:color="auto"/>
                <w:bottom w:val="none" w:sz="0" w:space="0" w:color="auto"/>
                <w:right w:val="none" w:sz="0" w:space="0" w:color="auto"/>
              </w:divBdr>
            </w:div>
            <w:div w:id="1137332758">
              <w:marLeft w:val="0"/>
              <w:marRight w:val="0"/>
              <w:marTop w:val="0"/>
              <w:marBottom w:val="0"/>
              <w:divBdr>
                <w:top w:val="none" w:sz="0" w:space="0" w:color="auto"/>
                <w:left w:val="none" w:sz="0" w:space="0" w:color="auto"/>
                <w:bottom w:val="none" w:sz="0" w:space="0" w:color="auto"/>
                <w:right w:val="none" w:sz="0" w:space="0" w:color="auto"/>
              </w:divBdr>
            </w:div>
            <w:div w:id="760491669">
              <w:marLeft w:val="0"/>
              <w:marRight w:val="0"/>
              <w:marTop w:val="0"/>
              <w:marBottom w:val="0"/>
              <w:divBdr>
                <w:top w:val="none" w:sz="0" w:space="0" w:color="auto"/>
                <w:left w:val="none" w:sz="0" w:space="0" w:color="auto"/>
                <w:bottom w:val="none" w:sz="0" w:space="0" w:color="auto"/>
                <w:right w:val="none" w:sz="0" w:space="0" w:color="auto"/>
              </w:divBdr>
            </w:div>
            <w:div w:id="729308436">
              <w:marLeft w:val="0"/>
              <w:marRight w:val="0"/>
              <w:marTop w:val="0"/>
              <w:marBottom w:val="0"/>
              <w:divBdr>
                <w:top w:val="none" w:sz="0" w:space="0" w:color="auto"/>
                <w:left w:val="none" w:sz="0" w:space="0" w:color="auto"/>
                <w:bottom w:val="none" w:sz="0" w:space="0" w:color="auto"/>
                <w:right w:val="none" w:sz="0" w:space="0" w:color="auto"/>
              </w:divBdr>
            </w:div>
            <w:div w:id="1979139385">
              <w:marLeft w:val="0"/>
              <w:marRight w:val="0"/>
              <w:marTop w:val="0"/>
              <w:marBottom w:val="0"/>
              <w:divBdr>
                <w:top w:val="none" w:sz="0" w:space="0" w:color="auto"/>
                <w:left w:val="none" w:sz="0" w:space="0" w:color="auto"/>
                <w:bottom w:val="none" w:sz="0" w:space="0" w:color="auto"/>
                <w:right w:val="none" w:sz="0" w:space="0" w:color="auto"/>
              </w:divBdr>
            </w:div>
            <w:div w:id="1096679887">
              <w:marLeft w:val="0"/>
              <w:marRight w:val="0"/>
              <w:marTop w:val="0"/>
              <w:marBottom w:val="0"/>
              <w:divBdr>
                <w:top w:val="none" w:sz="0" w:space="0" w:color="auto"/>
                <w:left w:val="none" w:sz="0" w:space="0" w:color="auto"/>
                <w:bottom w:val="none" w:sz="0" w:space="0" w:color="auto"/>
                <w:right w:val="none" w:sz="0" w:space="0" w:color="auto"/>
              </w:divBdr>
            </w:div>
            <w:div w:id="1771583504">
              <w:marLeft w:val="0"/>
              <w:marRight w:val="0"/>
              <w:marTop w:val="0"/>
              <w:marBottom w:val="0"/>
              <w:divBdr>
                <w:top w:val="none" w:sz="0" w:space="0" w:color="auto"/>
                <w:left w:val="none" w:sz="0" w:space="0" w:color="auto"/>
                <w:bottom w:val="none" w:sz="0" w:space="0" w:color="auto"/>
                <w:right w:val="none" w:sz="0" w:space="0" w:color="auto"/>
              </w:divBdr>
            </w:div>
            <w:div w:id="1732844992">
              <w:marLeft w:val="0"/>
              <w:marRight w:val="0"/>
              <w:marTop w:val="0"/>
              <w:marBottom w:val="0"/>
              <w:divBdr>
                <w:top w:val="none" w:sz="0" w:space="0" w:color="auto"/>
                <w:left w:val="none" w:sz="0" w:space="0" w:color="auto"/>
                <w:bottom w:val="none" w:sz="0" w:space="0" w:color="auto"/>
                <w:right w:val="none" w:sz="0" w:space="0" w:color="auto"/>
              </w:divBdr>
            </w:div>
            <w:div w:id="1517882993">
              <w:marLeft w:val="0"/>
              <w:marRight w:val="0"/>
              <w:marTop w:val="0"/>
              <w:marBottom w:val="0"/>
              <w:divBdr>
                <w:top w:val="none" w:sz="0" w:space="0" w:color="auto"/>
                <w:left w:val="none" w:sz="0" w:space="0" w:color="auto"/>
                <w:bottom w:val="none" w:sz="0" w:space="0" w:color="auto"/>
                <w:right w:val="none" w:sz="0" w:space="0" w:color="auto"/>
              </w:divBdr>
            </w:div>
            <w:div w:id="460849642">
              <w:marLeft w:val="0"/>
              <w:marRight w:val="0"/>
              <w:marTop w:val="0"/>
              <w:marBottom w:val="0"/>
              <w:divBdr>
                <w:top w:val="none" w:sz="0" w:space="0" w:color="auto"/>
                <w:left w:val="none" w:sz="0" w:space="0" w:color="auto"/>
                <w:bottom w:val="none" w:sz="0" w:space="0" w:color="auto"/>
                <w:right w:val="none" w:sz="0" w:space="0" w:color="auto"/>
              </w:divBdr>
            </w:div>
            <w:div w:id="149712348">
              <w:marLeft w:val="0"/>
              <w:marRight w:val="0"/>
              <w:marTop w:val="0"/>
              <w:marBottom w:val="0"/>
              <w:divBdr>
                <w:top w:val="none" w:sz="0" w:space="0" w:color="auto"/>
                <w:left w:val="none" w:sz="0" w:space="0" w:color="auto"/>
                <w:bottom w:val="none" w:sz="0" w:space="0" w:color="auto"/>
                <w:right w:val="none" w:sz="0" w:space="0" w:color="auto"/>
              </w:divBdr>
            </w:div>
            <w:div w:id="1258634335">
              <w:marLeft w:val="0"/>
              <w:marRight w:val="0"/>
              <w:marTop w:val="0"/>
              <w:marBottom w:val="0"/>
              <w:divBdr>
                <w:top w:val="none" w:sz="0" w:space="0" w:color="auto"/>
                <w:left w:val="none" w:sz="0" w:space="0" w:color="auto"/>
                <w:bottom w:val="none" w:sz="0" w:space="0" w:color="auto"/>
                <w:right w:val="none" w:sz="0" w:space="0" w:color="auto"/>
              </w:divBdr>
            </w:div>
            <w:div w:id="751396172">
              <w:marLeft w:val="0"/>
              <w:marRight w:val="0"/>
              <w:marTop w:val="0"/>
              <w:marBottom w:val="0"/>
              <w:divBdr>
                <w:top w:val="none" w:sz="0" w:space="0" w:color="auto"/>
                <w:left w:val="none" w:sz="0" w:space="0" w:color="auto"/>
                <w:bottom w:val="none" w:sz="0" w:space="0" w:color="auto"/>
                <w:right w:val="none" w:sz="0" w:space="0" w:color="auto"/>
              </w:divBdr>
            </w:div>
            <w:div w:id="1306743010">
              <w:marLeft w:val="0"/>
              <w:marRight w:val="0"/>
              <w:marTop w:val="0"/>
              <w:marBottom w:val="0"/>
              <w:divBdr>
                <w:top w:val="none" w:sz="0" w:space="0" w:color="auto"/>
                <w:left w:val="none" w:sz="0" w:space="0" w:color="auto"/>
                <w:bottom w:val="none" w:sz="0" w:space="0" w:color="auto"/>
                <w:right w:val="none" w:sz="0" w:space="0" w:color="auto"/>
              </w:divBdr>
            </w:div>
            <w:div w:id="443159786">
              <w:marLeft w:val="0"/>
              <w:marRight w:val="0"/>
              <w:marTop w:val="0"/>
              <w:marBottom w:val="0"/>
              <w:divBdr>
                <w:top w:val="none" w:sz="0" w:space="0" w:color="auto"/>
                <w:left w:val="none" w:sz="0" w:space="0" w:color="auto"/>
                <w:bottom w:val="none" w:sz="0" w:space="0" w:color="auto"/>
                <w:right w:val="none" w:sz="0" w:space="0" w:color="auto"/>
              </w:divBdr>
            </w:div>
            <w:div w:id="1644389288">
              <w:marLeft w:val="0"/>
              <w:marRight w:val="0"/>
              <w:marTop w:val="0"/>
              <w:marBottom w:val="0"/>
              <w:divBdr>
                <w:top w:val="none" w:sz="0" w:space="0" w:color="auto"/>
                <w:left w:val="none" w:sz="0" w:space="0" w:color="auto"/>
                <w:bottom w:val="none" w:sz="0" w:space="0" w:color="auto"/>
                <w:right w:val="none" w:sz="0" w:space="0" w:color="auto"/>
              </w:divBdr>
            </w:div>
            <w:div w:id="1212377004">
              <w:marLeft w:val="0"/>
              <w:marRight w:val="0"/>
              <w:marTop w:val="0"/>
              <w:marBottom w:val="0"/>
              <w:divBdr>
                <w:top w:val="none" w:sz="0" w:space="0" w:color="auto"/>
                <w:left w:val="none" w:sz="0" w:space="0" w:color="auto"/>
                <w:bottom w:val="none" w:sz="0" w:space="0" w:color="auto"/>
                <w:right w:val="none" w:sz="0" w:space="0" w:color="auto"/>
              </w:divBdr>
            </w:div>
            <w:div w:id="1745029909">
              <w:marLeft w:val="0"/>
              <w:marRight w:val="0"/>
              <w:marTop w:val="0"/>
              <w:marBottom w:val="0"/>
              <w:divBdr>
                <w:top w:val="none" w:sz="0" w:space="0" w:color="auto"/>
                <w:left w:val="none" w:sz="0" w:space="0" w:color="auto"/>
                <w:bottom w:val="none" w:sz="0" w:space="0" w:color="auto"/>
                <w:right w:val="none" w:sz="0" w:space="0" w:color="auto"/>
              </w:divBdr>
            </w:div>
            <w:div w:id="878472500">
              <w:marLeft w:val="0"/>
              <w:marRight w:val="0"/>
              <w:marTop w:val="0"/>
              <w:marBottom w:val="0"/>
              <w:divBdr>
                <w:top w:val="none" w:sz="0" w:space="0" w:color="auto"/>
                <w:left w:val="none" w:sz="0" w:space="0" w:color="auto"/>
                <w:bottom w:val="none" w:sz="0" w:space="0" w:color="auto"/>
                <w:right w:val="none" w:sz="0" w:space="0" w:color="auto"/>
              </w:divBdr>
            </w:div>
            <w:div w:id="477575443">
              <w:marLeft w:val="0"/>
              <w:marRight w:val="0"/>
              <w:marTop w:val="0"/>
              <w:marBottom w:val="0"/>
              <w:divBdr>
                <w:top w:val="none" w:sz="0" w:space="0" w:color="auto"/>
                <w:left w:val="none" w:sz="0" w:space="0" w:color="auto"/>
                <w:bottom w:val="none" w:sz="0" w:space="0" w:color="auto"/>
                <w:right w:val="none" w:sz="0" w:space="0" w:color="auto"/>
              </w:divBdr>
            </w:div>
            <w:div w:id="603657870">
              <w:marLeft w:val="0"/>
              <w:marRight w:val="0"/>
              <w:marTop w:val="0"/>
              <w:marBottom w:val="0"/>
              <w:divBdr>
                <w:top w:val="none" w:sz="0" w:space="0" w:color="auto"/>
                <w:left w:val="none" w:sz="0" w:space="0" w:color="auto"/>
                <w:bottom w:val="none" w:sz="0" w:space="0" w:color="auto"/>
                <w:right w:val="none" w:sz="0" w:space="0" w:color="auto"/>
              </w:divBdr>
            </w:div>
            <w:div w:id="1724719967">
              <w:marLeft w:val="0"/>
              <w:marRight w:val="0"/>
              <w:marTop w:val="0"/>
              <w:marBottom w:val="0"/>
              <w:divBdr>
                <w:top w:val="none" w:sz="0" w:space="0" w:color="auto"/>
                <w:left w:val="none" w:sz="0" w:space="0" w:color="auto"/>
                <w:bottom w:val="none" w:sz="0" w:space="0" w:color="auto"/>
                <w:right w:val="none" w:sz="0" w:space="0" w:color="auto"/>
              </w:divBdr>
            </w:div>
            <w:div w:id="182983475">
              <w:marLeft w:val="0"/>
              <w:marRight w:val="0"/>
              <w:marTop w:val="0"/>
              <w:marBottom w:val="0"/>
              <w:divBdr>
                <w:top w:val="none" w:sz="0" w:space="0" w:color="auto"/>
                <w:left w:val="none" w:sz="0" w:space="0" w:color="auto"/>
                <w:bottom w:val="none" w:sz="0" w:space="0" w:color="auto"/>
                <w:right w:val="none" w:sz="0" w:space="0" w:color="auto"/>
              </w:divBdr>
            </w:div>
            <w:div w:id="2138256246">
              <w:marLeft w:val="0"/>
              <w:marRight w:val="0"/>
              <w:marTop w:val="0"/>
              <w:marBottom w:val="0"/>
              <w:divBdr>
                <w:top w:val="none" w:sz="0" w:space="0" w:color="auto"/>
                <w:left w:val="none" w:sz="0" w:space="0" w:color="auto"/>
                <w:bottom w:val="none" w:sz="0" w:space="0" w:color="auto"/>
                <w:right w:val="none" w:sz="0" w:space="0" w:color="auto"/>
              </w:divBdr>
            </w:div>
            <w:div w:id="1469979673">
              <w:marLeft w:val="0"/>
              <w:marRight w:val="0"/>
              <w:marTop w:val="0"/>
              <w:marBottom w:val="0"/>
              <w:divBdr>
                <w:top w:val="none" w:sz="0" w:space="0" w:color="auto"/>
                <w:left w:val="none" w:sz="0" w:space="0" w:color="auto"/>
                <w:bottom w:val="none" w:sz="0" w:space="0" w:color="auto"/>
                <w:right w:val="none" w:sz="0" w:space="0" w:color="auto"/>
              </w:divBdr>
            </w:div>
            <w:div w:id="91441602">
              <w:marLeft w:val="0"/>
              <w:marRight w:val="0"/>
              <w:marTop w:val="0"/>
              <w:marBottom w:val="0"/>
              <w:divBdr>
                <w:top w:val="none" w:sz="0" w:space="0" w:color="auto"/>
                <w:left w:val="none" w:sz="0" w:space="0" w:color="auto"/>
                <w:bottom w:val="none" w:sz="0" w:space="0" w:color="auto"/>
                <w:right w:val="none" w:sz="0" w:space="0" w:color="auto"/>
              </w:divBdr>
            </w:div>
            <w:div w:id="773986063">
              <w:marLeft w:val="0"/>
              <w:marRight w:val="0"/>
              <w:marTop w:val="0"/>
              <w:marBottom w:val="0"/>
              <w:divBdr>
                <w:top w:val="none" w:sz="0" w:space="0" w:color="auto"/>
                <w:left w:val="none" w:sz="0" w:space="0" w:color="auto"/>
                <w:bottom w:val="none" w:sz="0" w:space="0" w:color="auto"/>
                <w:right w:val="none" w:sz="0" w:space="0" w:color="auto"/>
              </w:divBdr>
            </w:div>
            <w:div w:id="771123741">
              <w:marLeft w:val="0"/>
              <w:marRight w:val="0"/>
              <w:marTop w:val="0"/>
              <w:marBottom w:val="0"/>
              <w:divBdr>
                <w:top w:val="none" w:sz="0" w:space="0" w:color="auto"/>
                <w:left w:val="none" w:sz="0" w:space="0" w:color="auto"/>
                <w:bottom w:val="none" w:sz="0" w:space="0" w:color="auto"/>
                <w:right w:val="none" w:sz="0" w:space="0" w:color="auto"/>
              </w:divBdr>
            </w:div>
            <w:div w:id="1922988678">
              <w:marLeft w:val="0"/>
              <w:marRight w:val="0"/>
              <w:marTop w:val="0"/>
              <w:marBottom w:val="0"/>
              <w:divBdr>
                <w:top w:val="none" w:sz="0" w:space="0" w:color="auto"/>
                <w:left w:val="none" w:sz="0" w:space="0" w:color="auto"/>
                <w:bottom w:val="none" w:sz="0" w:space="0" w:color="auto"/>
                <w:right w:val="none" w:sz="0" w:space="0" w:color="auto"/>
              </w:divBdr>
            </w:div>
            <w:div w:id="110517668">
              <w:marLeft w:val="0"/>
              <w:marRight w:val="0"/>
              <w:marTop w:val="0"/>
              <w:marBottom w:val="0"/>
              <w:divBdr>
                <w:top w:val="none" w:sz="0" w:space="0" w:color="auto"/>
                <w:left w:val="none" w:sz="0" w:space="0" w:color="auto"/>
                <w:bottom w:val="none" w:sz="0" w:space="0" w:color="auto"/>
                <w:right w:val="none" w:sz="0" w:space="0" w:color="auto"/>
              </w:divBdr>
            </w:div>
            <w:div w:id="198588522">
              <w:marLeft w:val="0"/>
              <w:marRight w:val="0"/>
              <w:marTop w:val="0"/>
              <w:marBottom w:val="0"/>
              <w:divBdr>
                <w:top w:val="none" w:sz="0" w:space="0" w:color="auto"/>
                <w:left w:val="none" w:sz="0" w:space="0" w:color="auto"/>
                <w:bottom w:val="none" w:sz="0" w:space="0" w:color="auto"/>
                <w:right w:val="none" w:sz="0" w:space="0" w:color="auto"/>
              </w:divBdr>
            </w:div>
            <w:div w:id="1497307829">
              <w:marLeft w:val="0"/>
              <w:marRight w:val="0"/>
              <w:marTop w:val="0"/>
              <w:marBottom w:val="0"/>
              <w:divBdr>
                <w:top w:val="none" w:sz="0" w:space="0" w:color="auto"/>
                <w:left w:val="none" w:sz="0" w:space="0" w:color="auto"/>
                <w:bottom w:val="none" w:sz="0" w:space="0" w:color="auto"/>
                <w:right w:val="none" w:sz="0" w:space="0" w:color="auto"/>
              </w:divBdr>
            </w:div>
            <w:div w:id="783311415">
              <w:marLeft w:val="0"/>
              <w:marRight w:val="0"/>
              <w:marTop w:val="0"/>
              <w:marBottom w:val="0"/>
              <w:divBdr>
                <w:top w:val="none" w:sz="0" w:space="0" w:color="auto"/>
                <w:left w:val="none" w:sz="0" w:space="0" w:color="auto"/>
                <w:bottom w:val="none" w:sz="0" w:space="0" w:color="auto"/>
                <w:right w:val="none" w:sz="0" w:space="0" w:color="auto"/>
              </w:divBdr>
            </w:div>
            <w:div w:id="164251106">
              <w:marLeft w:val="0"/>
              <w:marRight w:val="0"/>
              <w:marTop w:val="0"/>
              <w:marBottom w:val="0"/>
              <w:divBdr>
                <w:top w:val="none" w:sz="0" w:space="0" w:color="auto"/>
                <w:left w:val="none" w:sz="0" w:space="0" w:color="auto"/>
                <w:bottom w:val="none" w:sz="0" w:space="0" w:color="auto"/>
                <w:right w:val="none" w:sz="0" w:space="0" w:color="auto"/>
              </w:divBdr>
            </w:div>
            <w:div w:id="414329473">
              <w:marLeft w:val="0"/>
              <w:marRight w:val="0"/>
              <w:marTop w:val="0"/>
              <w:marBottom w:val="0"/>
              <w:divBdr>
                <w:top w:val="none" w:sz="0" w:space="0" w:color="auto"/>
                <w:left w:val="none" w:sz="0" w:space="0" w:color="auto"/>
                <w:bottom w:val="none" w:sz="0" w:space="0" w:color="auto"/>
                <w:right w:val="none" w:sz="0" w:space="0" w:color="auto"/>
              </w:divBdr>
            </w:div>
            <w:div w:id="472022453">
              <w:marLeft w:val="0"/>
              <w:marRight w:val="0"/>
              <w:marTop w:val="0"/>
              <w:marBottom w:val="0"/>
              <w:divBdr>
                <w:top w:val="none" w:sz="0" w:space="0" w:color="auto"/>
                <w:left w:val="none" w:sz="0" w:space="0" w:color="auto"/>
                <w:bottom w:val="none" w:sz="0" w:space="0" w:color="auto"/>
                <w:right w:val="none" w:sz="0" w:space="0" w:color="auto"/>
              </w:divBdr>
            </w:div>
            <w:div w:id="1098915913">
              <w:marLeft w:val="0"/>
              <w:marRight w:val="0"/>
              <w:marTop w:val="0"/>
              <w:marBottom w:val="0"/>
              <w:divBdr>
                <w:top w:val="none" w:sz="0" w:space="0" w:color="auto"/>
                <w:left w:val="none" w:sz="0" w:space="0" w:color="auto"/>
                <w:bottom w:val="none" w:sz="0" w:space="0" w:color="auto"/>
                <w:right w:val="none" w:sz="0" w:space="0" w:color="auto"/>
              </w:divBdr>
            </w:div>
            <w:div w:id="811100304">
              <w:marLeft w:val="0"/>
              <w:marRight w:val="0"/>
              <w:marTop w:val="0"/>
              <w:marBottom w:val="0"/>
              <w:divBdr>
                <w:top w:val="none" w:sz="0" w:space="0" w:color="auto"/>
                <w:left w:val="none" w:sz="0" w:space="0" w:color="auto"/>
                <w:bottom w:val="none" w:sz="0" w:space="0" w:color="auto"/>
                <w:right w:val="none" w:sz="0" w:space="0" w:color="auto"/>
              </w:divBdr>
            </w:div>
            <w:div w:id="2017069147">
              <w:marLeft w:val="0"/>
              <w:marRight w:val="0"/>
              <w:marTop w:val="0"/>
              <w:marBottom w:val="0"/>
              <w:divBdr>
                <w:top w:val="none" w:sz="0" w:space="0" w:color="auto"/>
                <w:left w:val="none" w:sz="0" w:space="0" w:color="auto"/>
                <w:bottom w:val="none" w:sz="0" w:space="0" w:color="auto"/>
                <w:right w:val="none" w:sz="0" w:space="0" w:color="auto"/>
              </w:divBdr>
            </w:div>
            <w:div w:id="583150401">
              <w:marLeft w:val="0"/>
              <w:marRight w:val="0"/>
              <w:marTop w:val="0"/>
              <w:marBottom w:val="0"/>
              <w:divBdr>
                <w:top w:val="none" w:sz="0" w:space="0" w:color="auto"/>
                <w:left w:val="none" w:sz="0" w:space="0" w:color="auto"/>
                <w:bottom w:val="none" w:sz="0" w:space="0" w:color="auto"/>
                <w:right w:val="none" w:sz="0" w:space="0" w:color="auto"/>
              </w:divBdr>
            </w:div>
            <w:div w:id="1949312964">
              <w:marLeft w:val="0"/>
              <w:marRight w:val="0"/>
              <w:marTop w:val="0"/>
              <w:marBottom w:val="0"/>
              <w:divBdr>
                <w:top w:val="none" w:sz="0" w:space="0" w:color="auto"/>
                <w:left w:val="none" w:sz="0" w:space="0" w:color="auto"/>
                <w:bottom w:val="none" w:sz="0" w:space="0" w:color="auto"/>
                <w:right w:val="none" w:sz="0" w:space="0" w:color="auto"/>
              </w:divBdr>
            </w:div>
            <w:div w:id="632558871">
              <w:marLeft w:val="0"/>
              <w:marRight w:val="0"/>
              <w:marTop w:val="0"/>
              <w:marBottom w:val="0"/>
              <w:divBdr>
                <w:top w:val="none" w:sz="0" w:space="0" w:color="auto"/>
                <w:left w:val="none" w:sz="0" w:space="0" w:color="auto"/>
                <w:bottom w:val="none" w:sz="0" w:space="0" w:color="auto"/>
                <w:right w:val="none" w:sz="0" w:space="0" w:color="auto"/>
              </w:divBdr>
            </w:div>
            <w:div w:id="726682578">
              <w:marLeft w:val="0"/>
              <w:marRight w:val="0"/>
              <w:marTop w:val="0"/>
              <w:marBottom w:val="0"/>
              <w:divBdr>
                <w:top w:val="none" w:sz="0" w:space="0" w:color="auto"/>
                <w:left w:val="none" w:sz="0" w:space="0" w:color="auto"/>
                <w:bottom w:val="none" w:sz="0" w:space="0" w:color="auto"/>
                <w:right w:val="none" w:sz="0" w:space="0" w:color="auto"/>
              </w:divBdr>
            </w:div>
            <w:div w:id="1329598587">
              <w:marLeft w:val="0"/>
              <w:marRight w:val="0"/>
              <w:marTop w:val="0"/>
              <w:marBottom w:val="0"/>
              <w:divBdr>
                <w:top w:val="none" w:sz="0" w:space="0" w:color="auto"/>
                <w:left w:val="none" w:sz="0" w:space="0" w:color="auto"/>
                <w:bottom w:val="none" w:sz="0" w:space="0" w:color="auto"/>
                <w:right w:val="none" w:sz="0" w:space="0" w:color="auto"/>
              </w:divBdr>
            </w:div>
            <w:div w:id="1461995839">
              <w:marLeft w:val="0"/>
              <w:marRight w:val="0"/>
              <w:marTop w:val="0"/>
              <w:marBottom w:val="0"/>
              <w:divBdr>
                <w:top w:val="none" w:sz="0" w:space="0" w:color="auto"/>
                <w:left w:val="none" w:sz="0" w:space="0" w:color="auto"/>
                <w:bottom w:val="none" w:sz="0" w:space="0" w:color="auto"/>
                <w:right w:val="none" w:sz="0" w:space="0" w:color="auto"/>
              </w:divBdr>
            </w:div>
            <w:div w:id="508712390">
              <w:marLeft w:val="0"/>
              <w:marRight w:val="0"/>
              <w:marTop w:val="0"/>
              <w:marBottom w:val="0"/>
              <w:divBdr>
                <w:top w:val="none" w:sz="0" w:space="0" w:color="auto"/>
                <w:left w:val="none" w:sz="0" w:space="0" w:color="auto"/>
                <w:bottom w:val="none" w:sz="0" w:space="0" w:color="auto"/>
                <w:right w:val="none" w:sz="0" w:space="0" w:color="auto"/>
              </w:divBdr>
            </w:div>
            <w:div w:id="903029539">
              <w:marLeft w:val="0"/>
              <w:marRight w:val="0"/>
              <w:marTop w:val="0"/>
              <w:marBottom w:val="0"/>
              <w:divBdr>
                <w:top w:val="none" w:sz="0" w:space="0" w:color="auto"/>
                <w:left w:val="none" w:sz="0" w:space="0" w:color="auto"/>
                <w:bottom w:val="none" w:sz="0" w:space="0" w:color="auto"/>
                <w:right w:val="none" w:sz="0" w:space="0" w:color="auto"/>
              </w:divBdr>
            </w:div>
            <w:div w:id="356122796">
              <w:marLeft w:val="0"/>
              <w:marRight w:val="0"/>
              <w:marTop w:val="0"/>
              <w:marBottom w:val="0"/>
              <w:divBdr>
                <w:top w:val="none" w:sz="0" w:space="0" w:color="auto"/>
                <w:left w:val="none" w:sz="0" w:space="0" w:color="auto"/>
                <w:bottom w:val="none" w:sz="0" w:space="0" w:color="auto"/>
                <w:right w:val="none" w:sz="0" w:space="0" w:color="auto"/>
              </w:divBdr>
            </w:div>
            <w:div w:id="1408919676">
              <w:marLeft w:val="0"/>
              <w:marRight w:val="0"/>
              <w:marTop w:val="0"/>
              <w:marBottom w:val="0"/>
              <w:divBdr>
                <w:top w:val="none" w:sz="0" w:space="0" w:color="auto"/>
                <w:left w:val="none" w:sz="0" w:space="0" w:color="auto"/>
                <w:bottom w:val="none" w:sz="0" w:space="0" w:color="auto"/>
                <w:right w:val="none" w:sz="0" w:space="0" w:color="auto"/>
              </w:divBdr>
            </w:div>
            <w:div w:id="2111660117">
              <w:marLeft w:val="0"/>
              <w:marRight w:val="0"/>
              <w:marTop w:val="0"/>
              <w:marBottom w:val="0"/>
              <w:divBdr>
                <w:top w:val="none" w:sz="0" w:space="0" w:color="auto"/>
                <w:left w:val="none" w:sz="0" w:space="0" w:color="auto"/>
                <w:bottom w:val="none" w:sz="0" w:space="0" w:color="auto"/>
                <w:right w:val="none" w:sz="0" w:space="0" w:color="auto"/>
              </w:divBdr>
            </w:div>
            <w:div w:id="1343430892">
              <w:marLeft w:val="0"/>
              <w:marRight w:val="0"/>
              <w:marTop w:val="0"/>
              <w:marBottom w:val="0"/>
              <w:divBdr>
                <w:top w:val="none" w:sz="0" w:space="0" w:color="auto"/>
                <w:left w:val="none" w:sz="0" w:space="0" w:color="auto"/>
                <w:bottom w:val="none" w:sz="0" w:space="0" w:color="auto"/>
                <w:right w:val="none" w:sz="0" w:space="0" w:color="auto"/>
              </w:divBdr>
            </w:div>
            <w:div w:id="372385159">
              <w:marLeft w:val="0"/>
              <w:marRight w:val="0"/>
              <w:marTop w:val="0"/>
              <w:marBottom w:val="0"/>
              <w:divBdr>
                <w:top w:val="none" w:sz="0" w:space="0" w:color="auto"/>
                <w:left w:val="none" w:sz="0" w:space="0" w:color="auto"/>
                <w:bottom w:val="none" w:sz="0" w:space="0" w:color="auto"/>
                <w:right w:val="none" w:sz="0" w:space="0" w:color="auto"/>
              </w:divBdr>
            </w:div>
            <w:div w:id="1227374366">
              <w:marLeft w:val="0"/>
              <w:marRight w:val="0"/>
              <w:marTop w:val="0"/>
              <w:marBottom w:val="0"/>
              <w:divBdr>
                <w:top w:val="none" w:sz="0" w:space="0" w:color="auto"/>
                <w:left w:val="none" w:sz="0" w:space="0" w:color="auto"/>
                <w:bottom w:val="none" w:sz="0" w:space="0" w:color="auto"/>
                <w:right w:val="none" w:sz="0" w:space="0" w:color="auto"/>
              </w:divBdr>
            </w:div>
            <w:div w:id="157038453">
              <w:marLeft w:val="0"/>
              <w:marRight w:val="0"/>
              <w:marTop w:val="0"/>
              <w:marBottom w:val="0"/>
              <w:divBdr>
                <w:top w:val="none" w:sz="0" w:space="0" w:color="auto"/>
                <w:left w:val="none" w:sz="0" w:space="0" w:color="auto"/>
                <w:bottom w:val="none" w:sz="0" w:space="0" w:color="auto"/>
                <w:right w:val="none" w:sz="0" w:space="0" w:color="auto"/>
              </w:divBdr>
            </w:div>
            <w:div w:id="349531007">
              <w:marLeft w:val="0"/>
              <w:marRight w:val="0"/>
              <w:marTop w:val="0"/>
              <w:marBottom w:val="0"/>
              <w:divBdr>
                <w:top w:val="none" w:sz="0" w:space="0" w:color="auto"/>
                <w:left w:val="none" w:sz="0" w:space="0" w:color="auto"/>
                <w:bottom w:val="none" w:sz="0" w:space="0" w:color="auto"/>
                <w:right w:val="none" w:sz="0" w:space="0" w:color="auto"/>
              </w:divBdr>
            </w:div>
            <w:div w:id="118765376">
              <w:marLeft w:val="0"/>
              <w:marRight w:val="0"/>
              <w:marTop w:val="0"/>
              <w:marBottom w:val="0"/>
              <w:divBdr>
                <w:top w:val="none" w:sz="0" w:space="0" w:color="auto"/>
                <w:left w:val="none" w:sz="0" w:space="0" w:color="auto"/>
                <w:bottom w:val="none" w:sz="0" w:space="0" w:color="auto"/>
                <w:right w:val="none" w:sz="0" w:space="0" w:color="auto"/>
              </w:divBdr>
            </w:div>
            <w:div w:id="509176376">
              <w:marLeft w:val="0"/>
              <w:marRight w:val="0"/>
              <w:marTop w:val="0"/>
              <w:marBottom w:val="0"/>
              <w:divBdr>
                <w:top w:val="none" w:sz="0" w:space="0" w:color="auto"/>
                <w:left w:val="none" w:sz="0" w:space="0" w:color="auto"/>
                <w:bottom w:val="none" w:sz="0" w:space="0" w:color="auto"/>
                <w:right w:val="none" w:sz="0" w:space="0" w:color="auto"/>
              </w:divBdr>
            </w:div>
            <w:div w:id="506362768">
              <w:marLeft w:val="0"/>
              <w:marRight w:val="0"/>
              <w:marTop w:val="0"/>
              <w:marBottom w:val="0"/>
              <w:divBdr>
                <w:top w:val="none" w:sz="0" w:space="0" w:color="auto"/>
                <w:left w:val="none" w:sz="0" w:space="0" w:color="auto"/>
                <w:bottom w:val="none" w:sz="0" w:space="0" w:color="auto"/>
                <w:right w:val="none" w:sz="0" w:space="0" w:color="auto"/>
              </w:divBdr>
            </w:div>
            <w:div w:id="1838954274">
              <w:marLeft w:val="0"/>
              <w:marRight w:val="0"/>
              <w:marTop w:val="0"/>
              <w:marBottom w:val="0"/>
              <w:divBdr>
                <w:top w:val="none" w:sz="0" w:space="0" w:color="auto"/>
                <w:left w:val="none" w:sz="0" w:space="0" w:color="auto"/>
                <w:bottom w:val="none" w:sz="0" w:space="0" w:color="auto"/>
                <w:right w:val="none" w:sz="0" w:space="0" w:color="auto"/>
              </w:divBdr>
            </w:div>
            <w:div w:id="701249940">
              <w:marLeft w:val="0"/>
              <w:marRight w:val="0"/>
              <w:marTop w:val="0"/>
              <w:marBottom w:val="0"/>
              <w:divBdr>
                <w:top w:val="none" w:sz="0" w:space="0" w:color="auto"/>
                <w:left w:val="none" w:sz="0" w:space="0" w:color="auto"/>
                <w:bottom w:val="none" w:sz="0" w:space="0" w:color="auto"/>
                <w:right w:val="none" w:sz="0" w:space="0" w:color="auto"/>
              </w:divBdr>
            </w:div>
            <w:div w:id="1974289846">
              <w:marLeft w:val="0"/>
              <w:marRight w:val="0"/>
              <w:marTop w:val="0"/>
              <w:marBottom w:val="0"/>
              <w:divBdr>
                <w:top w:val="none" w:sz="0" w:space="0" w:color="auto"/>
                <w:left w:val="none" w:sz="0" w:space="0" w:color="auto"/>
                <w:bottom w:val="none" w:sz="0" w:space="0" w:color="auto"/>
                <w:right w:val="none" w:sz="0" w:space="0" w:color="auto"/>
              </w:divBdr>
            </w:div>
            <w:div w:id="1658652755">
              <w:marLeft w:val="0"/>
              <w:marRight w:val="0"/>
              <w:marTop w:val="0"/>
              <w:marBottom w:val="0"/>
              <w:divBdr>
                <w:top w:val="none" w:sz="0" w:space="0" w:color="auto"/>
                <w:left w:val="none" w:sz="0" w:space="0" w:color="auto"/>
                <w:bottom w:val="none" w:sz="0" w:space="0" w:color="auto"/>
                <w:right w:val="none" w:sz="0" w:space="0" w:color="auto"/>
              </w:divBdr>
            </w:div>
            <w:div w:id="1404137427">
              <w:marLeft w:val="0"/>
              <w:marRight w:val="0"/>
              <w:marTop w:val="0"/>
              <w:marBottom w:val="0"/>
              <w:divBdr>
                <w:top w:val="none" w:sz="0" w:space="0" w:color="auto"/>
                <w:left w:val="none" w:sz="0" w:space="0" w:color="auto"/>
                <w:bottom w:val="none" w:sz="0" w:space="0" w:color="auto"/>
                <w:right w:val="none" w:sz="0" w:space="0" w:color="auto"/>
              </w:divBdr>
            </w:div>
            <w:div w:id="657852505">
              <w:marLeft w:val="0"/>
              <w:marRight w:val="0"/>
              <w:marTop w:val="0"/>
              <w:marBottom w:val="0"/>
              <w:divBdr>
                <w:top w:val="none" w:sz="0" w:space="0" w:color="auto"/>
                <w:left w:val="none" w:sz="0" w:space="0" w:color="auto"/>
                <w:bottom w:val="none" w:sz="0" w:space="0" w:color="auto"/>
                <w:right w:val="none" w:sz="0" w:space="0" w:color="auto"/>
              </w:divBdr>
            </w:div>
            <w:div w:id="913196718">
              <w:marLeft w:val="0"/>
              <w:marRight w:val="0"/>
              <w:marTop w:val="0"/>
              <w:marBottom w:val="0"/>
              <w:divBdr>
                <w:top w:val="none" w:sz="0" w:space="0" w:color="auto"/>
                <w:left w:val="none" w:sz="0" w:space="0" w:color="auto"/>
                <w:bottom w:val="none" w:sz="0" w:space="0" w:color="auto"/>
                <w:right w:val="none" w:sz="0" w:space="0" w:color="auto"/>
              </w:divBdr>
            </w:div>
            <w:div w:id="570045057">
              <w:marLeft w:val="0"/>
              <w:marRight w:val="0"/>
              <w:marTop w:val="0"/>
              <w:marBottom w:val="0"/>
              <w:divBdr>
                <w:top w:val="none" w:sz="0" w:space="0" w:color="auto"/>
                <w:left w:val="none" w:sz="0" w:space="0" w:color="auto"/>
                <w:bottom w:val="none" w:sz="0" w:space="0" w:color="auto"/>
                <w:right w:val="none" w:sz="0" w:space="0" w:color="auto"/>
              </w:divBdr>
            </w:div>
            <w:div w:id="276180336">
              <w:marLeft w:val="0"/>
              <w:marRight w:val="0"/>
              <w:marTop w:val="0"/>
              <w:marBottom w:val="0"/>
              <w:divBdr>
                <w:top w:val="none" w:sz="0" w:space="0" w:color="auto"/>
                <w:left w:val="none" w:sz="0" w:space="0" w:color="auto"/>
                <w:bottom w:val="none" w:sz="0" w:space="0" w:color="auto"/>
                <w:right w:val="none" w:sz="0" w:space="0" w:color="auto"/>
              </w:divBdr>
            </w:div>
            <w:div w:id="1191648471">
              <w:marLeft w:val="0"/>
              <w:marRight w:val="0"/>
              <w:marTop w:val="0"/>
              <w:marBottom w:val="0"/>
              <w:divBdr>
                <w:top w:val="none" w:sz="0" w:space="0" w:color="auto"/>
                <w:left w:val="none" w:sz="0" w:space="0" w:color="auto"/>
                <w:bottom w:val="none" w:sz="0" w:space="0" w:color="auto"/>
                <w:right w:val="none" w:sz="0" w:space="0" w:color="auto"/>
              </w:divBdr>
            </w:div>
            <w:div w:id="2014531762">
              <w:marLeft w:val="0"/>
              <w:marRight w:val="0"/>
              <w:marTop w:val="0"/>
              <w:marBottom w:val="0"/>
              <w:divBdr>
                <w:top w:val="none" w:sz="0" w:space="0" w:color="auto"/>
                <w:left w:val="none" w:sz="0" w:space="0" w:color="auto"/>
                <w:bottom w:val="none" w:sz="0" w:space="0" w:color="auto"/>
                <w:right w:val="none" w:sz="0" w:space="0" w:color="auto"/>
              </w:divBdr>
            </w:div>
            <w:div w:id="1390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48">
      <w:bodyDiv w:val="1"/>
      <w:marLeft w:val="0"/>
      <w:marRight w:val="0"/>
      <w:marTop w:val="0"/>
      <w:marBottom w:val="0"/>
      <w:divBdr>
        <w:top w:val="none" w:sz="0" w:space="0" w:color="auto"/>
        <w:left w:val="none" w:sz="0" w:space="0" w:color="auto"/>
        <w:bottom w:val="none" w:sz="0" w:space="0" w:color="auto"/>
        <w:right w:val="none" w:sz="0" w:space="0" w:color="auto"/>
      </w:divBdr>
    </w:div>
    <w:div w:id="835220793">
      <w:bodyDiv w:val="1"/>
      <w:marLeft w:val="0"/>
      <w:marRight w:val="0"/>
      <w:marTop w:val="0"/>
      <w:marBottom w:val="0"/>
      <w:divBdr>
        <w:top w:val="none" w:sz="0" w:space="0" w:color="auto"/>
        <w:left w:val="none" w:sz="0" w:space="0" w:color="auto"/>
        <w:bottom w:val="none" w:sz="0" w:space="0" w:color="auto"/>
        <w:right w:val="none" w:sz="0" w:space="0" w:color="auto"/>
      </w:divBdr>
    </w:div>
    <w:div w:id="17590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177D8-4BD4-4753-8988-D5076BF2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3281</Words>
  <Characters>18050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7</cp:revision>
  <cp:lastPrinted>2017-03-09T13:32:00Z</cp:lastPrinted>
  <dcterms:created xsi:type="dcterms:W3CDTF">2017-02-27T14:13:00Z</dcterms:created>
  <dcterms:modified xsi:type="dcterms:W3CDTF">2017-03-09T13:32:00Z</dcterms:modified>
</cp:coreProperties>
</file>