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32" w:rsidRPr="000D1929" w:rsidRDefault="004F2A77" w:rsidP="004F2A77">
      <w:pPr>
        <w:rPr>
          <w:rFonts w:ascii="Century Gothic" w:hAnsi="Century Gothic"/>
        </w:rPr>
      </w:pPr>
      <w:r w:rsidRPr="000D1929">
        <w:rPr>
          <w:rFonts w:ascii="Century Gothic" w:hAnsi="Century Gothic"/>
          <w:noProof/>
          <w:lang w:eastAsia="fr-BE"/>
        </w:rPr>
        <w:drawing>
          <wp:inline distT="0" distB="0" distL="0" distR="0">
            <wp:extent cx="1476375" cy="871346"/>
            <wp:effectExtent l="19050" t="0" r="0" b="0"/>
            <wp:docPr id="8" name="Image 1" descr="http://intranet.spw.wallonie.be/files/home/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files/home/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479473" cy="873175"/>
                    </a:xfrm>
                    <a:prstGeom prst="rect">
                      <a:avLst/>
                    </a:prstGeom>
                    <a:noFill/>
                    <a:ln w="9525">
                      <a:noFill/>
                      <a:miter lim="800000"/>
                      <a:headEnd/>
                      <a:tailEnd/>
                    </a:ln>
                  </pic:spPr>
                </pic:pic>
              </a:graphicData>
            </a:graphic>
          </wp:inline>
        </w:drawing>
      </w:r>
    </w:p>
    <w:p w:rsidR="00926F32" w:rsidRPr="000D1929" w:rsidRDefault="00926F32">
      <w:pPr>
        <w:rPr>
          <w:rFonts w:ascii="Century Gothic" w:hAnsi="Century Gothic"/>
        </w:rPr>
      </w:pPr>
    </w:p>
    <w:p w:rsidR="00926F32" w:rsidRPr="000D1929" w:rsidRDefault="00926F32" w:rsidP="004F2A77">
      <w:pPr>
        <w:jc w:val="right"/>
        <w:rPr>
          <w:rFonts w:ascii="Century Gothic" w:hAnsi="Century Gothic"/>
        </w:rPr>
      </w:pPr>
    </w:p>
    <w:p w:rsidR="00926F32" w:rsidRPr="000D1929" w:rsidRDefault="00926F32">
      <w:pPr>
        <w:rPr>
          <w:rFonts w:ascii="Century Gothic" w:hAnsi="Century Gothic"/>
        </w:rPr>
      </w:pPr>
    </w:p>
    <w:p w:rsidR="00926F32" w:rsidRPr="000D1929" w:rsidRDefault="00926F32" w:rsidP="00926F32">
      <w:pPr>
        <w:pStyle w:val="Titre1"/>
        <w:jc w:val="center"/>
        <w:rPr>
          <w:rFonts w:ascii="Century Gothic" w:hAnsi="Century Gothic"/>
          <w:sz w:val="22"/>
          <w:szCs w:val="22"/>
        </w:rPr>
      </w:pPr>
    </w:p>
    <w:p w:rsidR="00926F32" w:rsidRPr="000D1929" w:rsidRDefault="00926F32" w:rsidP="00926F32">
      <w:pPr>
        <w:pStyle w:val="Titre1"/>
        <w:jc w:val="center"/>
        <w:rPr>
          <w:rFonts w:ascii="Century Gothic" w:hAnsi="Century Gothic"/>
          <w:sz w:val="22"/>
          <w:szCs w:val="22"/>
        </w:rPr>
      </w:pPr>
    </w:p>
    <w:p w:rsidR="00926F32" w:rsidRPr="000D1929" w:rsidRDefault="00926F32" w:rsidP="00926F32">
      <w:pPr>
        <w:pStyle w:val="Titre1"/>
        <w:jc w:val="center"/>
        <w:rPr>
          <w:rFonts w:ascii="Century Gothic" w:hAnsi="Century Gothic"/>
          <w:sz w:val="22"/>
          <w:szCs w:val="22"/>
        </w:rPr>
      </w:pPr>
    </w:p>
    <w:p w:rsidR="00926F32" w:rsidRPr="008A0D99" w:rsidRDefault="00926F32" w:rsidP="00472F17">
      <w:pPr>
        <w:jc w:val="center"/>
        <w:rPr>
          <w:rFonts w:ascii="Century Gothic" w:hAnsi="Century Gothic"/>
          <w:b/>
          <w:color w:val="1F497D" w:themeColor="text2"/>
          <w:sz w:val="28"/>
          <w:szCs w:val="28"/>
        </w:rPr>
      </w:pPr>
      <w:r w:rsidRPr="008A0D99">
        <w:rPr>
          <w:rFonts w:ascii="Century Gothic" w:hAnsi="Century Gothic"/>
          <w:b/>
          <w:color w:val="1F497D" w:themeColor="text2"/>
          <w:sz w:val="28"/>
          <w:szCs w:val="28"/>
        </w:rPr>
        <w:t xml:space="preserve">Consultation des </w:t>
      </w:r>
      <w:proofErr w:type="spellStart"/>
      <w:r w:rsidRPr="008A0D99">
        <w:rPr>
          <w:rFonts w:ascii="Century Gothic" w:hAnsi="Century Gothic"/>
          <w:b/>
          <w:color w:val="1F497D" w:themeColor="text2"/>
          <w:sz w:val="28"/>
          <w:szCs w:val="28"/>
        </w:rPr>
        <w:t>stakeholders</w:t>
      </w:r>
      <w:proofErr w:type="spellEnd"/>
      <w:r w:rsidRPr="008A0D99">
        <w:rPr>
          <w:rFonts w:ascii="Century Gothic" w:hAnsi="Century Gothic"/>
          <w:b/>
          <w:color w:val="1F497D" w:themeColor="text2"/>
          <w:sz w:val="28"/>
          <w:szCs w:val="28"/>
        </w:rPr>
        <w:t xml:space="preserve"> dans le cadre de l’élaboration du Plan Energie-Climat 2030 pour la Wallonie</w:t>
      </w:r>
    </w:p>
    <w:p w:rsidR="00926F32" w:rsidRPr="008A0D99" w:rsidRDefault="00926F32" w:rsidP="00472F17">
      <w:pPr>
        <w:jc w:val="center"/>
        <w:rPr>
          <w:rFonts w:ascii="Century Gothic" w:hAnsi="Century Gothic"/>
          <w:b/>
          <w:color w:val="1F497D" w:themeColor="text2"/>
          <w:sz w:val="28"/>
          <w:szCs w:val="28"/>
        </w:rPr>
      </w:pPr>
    </w:p>
    <w:p w:rsidR="00926F32" w:rsidRPr="008A0D99" w:rsidRDefault="00E05578" w:rsidP="00472F17">
      <w:pPr>
        <w:jc w:val="center"/>
        <w:rPr>
          <w:rFonts w:ascii="Century Gothic" w:hAnsi="Century Gothic"/>
          <w:b/>
          <w:color w:val="1F497D" w:themeColor="text2"/>
          <w:sz w:val="28"/>
          <w:szCs w:val="28"/>
        </w:rPr>
      </w:pPr>
      <w:r w:rsidRPr="008A0D99">
        <w:rPr>
          <w:rFonts w:ascii="Century Gothic" w:hAnsi="Century Gothic"/>
          <w:b/>
          <w:color w:val="1F497D" w:themeColor="text2"/>
          <w:sz w:val="28"/>
          <w:szCs w:val="28"/>
        </w:rPr>
        <w:t>Etat des lieux</w:t>
      </w:r>
      <w:r w:rsidR="00771027" w:rsidRPr="008A0D99">
        <w:rPr>
          <w:rFonts w:ascii="Century Gothic" w:hAnsi="Century Gothic"/>
          <w:b/>
          <w:color w:val="1F497D" w:themeColor="text2"/>
          <w:sz w:val="28"/>
          <w:szCs w:val="28"/>
        </w:rPr>
        <w:t xml:space="preserve"> : </w:t>
      </w:r>
      <w:r w:rsidR="00562D5C" w:rsidRPr="008A0D99">
        <w:rPr>
          <w:rFonts w:ascii="Century Gothic" w:hAnsi="Century Gothic"/>
          <w:b/>
          <w:color w:val="1F497D" w:themeColor="text2"/>
          <w:sz w:val="28"/>
          <w:szCs w:val="28"/>
        </w:rPr>
        <w:t>Recherche &amp; Innovation</w:t>
      </w:r>
    </w:p>
    <w:p w:rsidR="00AB1B39" w:rsidRPr="008779CD" w:rsidRDefault="00AB1B39" w:rsidP="00AB1B39">
      <w:pPr>
        <w:rPr>
          <w:rFonts w:ascii="Century Gothic" w:hAnsi="Century Gothic"/>
        </w:rPr>
      </w:pPr>
      <w:r w:rsidRPr="00880A8A">
        <w:rPr>
          <w:rFonts w:ascii="Century Gothic" w:hAnsi="Century Gothic"/>
        </w:rPr>
        <w:t>Date de la consultation</w:t>
      </w:r>
      <w:r>
        <w:rPr>
          <w:rFonts w:ascii="Century Gothic" w:hAnsi="Century Gothic"/>
        </w:rPr>
        <w:t> : du 13/03/2017 au 21/04/2017</w:t>
      </w:r>
    </w:p>
    <w:p w:rsidR="004A48EB" w:rsidRDefault="004A48EB">
      <w:pPr>
        <w:rPr>
          <w:rFonts w:ascii="Century Gothic" w:hAnsi="Century Gothic"/>
        </w:rPr>
      </w:pPr>
    </w:p>
    <w:p w:rsidR="004A48EB" w:rsidRDefault="004A48EB">
      <w:pPr>
        <w:rPr>
          <w:rFonts w:ascii="Century Gothic" w:hAnsi="Century Gothic"/>
        </w:rPr>
      </w:pPr>
    </w:p>
    <w:p w:rsidR="004A48EB" w:rsidRDefault="004A48EB">
      <w:pPr>
        <w:rPr>
          <w:rFonts w:ascii="Century Gothic" w:hAnsi="Century Gothic"/>
        </w:rPr>
      </w:pPr>
    </w:p>
    <w:p w:rsidR="004A48EB" w:rsidRDefault="004A48EB">
      <w:pPr>
        <w:rPr>
          <w:rFonts w:ascii="Century Gothic" w:hAnsi="Century Gothic"/>
        </w:rPr>
      </w:pPr>
    </w:p>
    <w:p w:rsidR="004A48EB" w:rsidRPr="000D1929" w:rsidRDefault="004A48EB">
      <w:pPr>
        <w:rPr>
          <w:rFonts w:ascii="Century Gothic" w:hAnsi="Century Gothic"/>
        </w:rPr>
      </w:pPr>
    </w:p>
    <w:p w:rsidR="0033110E" w:rsidRPr="000D1929" w:rsidRDefault="00AB1B39">
      <w:pPr>
        <w:rPr>
          <w:rFonts w:ascii="Century Gothic" w:hAnsi="Century Gothic"/>
        </w:rPr>
      </w:pPr>
      <w:r w:rsidRPr="00AB1B39">
        <w:rPr>
          <w:rFonts w:ascii="Century Gothic" w:hAnsi="Century Gothic"/>
        </w:rPr>
        <w:drawing>
          <wp:inline distT="0" distB="0" distL="0" distR="0">
            <wp:extent cx="1619250" cy="635356"/>
            <wp:effectExtent l="1905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7453" cy="634651"/>
                    </a:xfrm>
                    <a:prstGeom prst="rect">
                      <a:avLst/>
                    </a:prstGeom>
                    <a:noFill/>
                    <a:ln w="9525">
                      <a:noFill/>
                      <a:miter lim="800000"/>
                      <a:headEnd/>
                      <a:tailEnd/>
                    </a:ln>
                  </pic:spPr>
                </pic:pic>
              </a:graphicData>
            </a:graphic>
          </wp:inline>
        </w:drawing>
      </w:r>
      <w:r w:rsidR="004A48EB">
        <w:rPr>
          <w:rFonts w:ascii="Century Gothic" w:hAnsi="Century Gothic"/>
          <w:noProof/>
          <w:lang w:eastAsia="fr-BE"/>
        </w:rPr>
        <w:drawing>
          <wp:anchor distT="0" distB="0" distL="114300" distR="114300" simplePos="0" relativeHeight="251658240" behindDoc="0" locked="0" layoutInCell="1" allowOverlap="1">
            <wp:simplePos x="0" y="0"/>
            <wp:positionH relativeFrom="margin">
              <wp:posOffset>4827905</wp:posOffset>
            </wp:positionH>
            <wp:positionV relativeFrom="margin">
              <wp:posOffset>6701155</wp:posOffset>
            </wp:positionV>
            <wp:extent cx="767715" cy="731520"/>
            <wp:effectExtent l="19050" t="0" r="0" b="0"/>
            <wp:wrapSquare wrapText="bothSides"/>
            <wp:docPr id="12" name="Image 4" descr="http://intranet.spw.wallonie.be/files/home/outils/identite_visuelle/chartes_graphique_et_editoriale/logos/d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pw.wallonie.be/files/home/outils/identite_visuelle/chartes_graphique_et_editoriale/logos/dgo4.jpg"/>
                    <pic:cNvPicPr>
                      <a:picLocks noChangeAspect="1" noChangeArrowheads="1"/>
                    </pic:cNvPicPr>
                  </pic:nvPicPr>
                  <pic:blipFill>
                    <a:blip r:embed="rId10"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926F32" w:rsidRPr="000D1929">
        <w:rPr>
          <w:rFonts w:ascii="Century Gothic" w:hAnsi="Century Gothic"/>
        </w:rPr>
        <w:br w:type="page"/>
      </w:r>
    </w:p>
    <w:p w:rsidR="008B4079" w:rsidRPr="000D1929" w:rsidRDefault="008B4079">
      <w:pPr>
        <w:rPr>
          <w:rFonts w:ascii="Century Gothic" w:hAnsi="Century Gothic"/>
        </w:rPr>
        <w:sectPr w:rsidR="008B4079" w:rsidRPr="000D1929" w:rsidSect="0033110E">
          <w:pgSz w:w="11906" w:h="16838"/>
          <w:pgMar w:top="1417" w:right="1417" w:bottom="1417" w:left="1417" w:header="708" w:footer="708" w:gutter="0"/>
          <w:pgNumType w:start="1"/>
          <w:cols w:space="708"/>
          <w:docGrid w:linePitch="360"/>
        </w:sectPr>
      </w:pPr>
    </w:p>
    <w:p w:rsidR="00926F32" w:rsidRPr="000D1929" w:rsidRDefault="00926F32">
      <w:pPr>
        <w:rPr>
          <w:rFonts w:ascii="Century Gothic" w:eastAsiaTheme="majorEastAsia" w:hAnsi="Century Gothic" w:cstheme="majorBidi"/>
          <w:b/>
          <w:bCs/>
          <w:color w:val="365F91" w:themeColor="accent1" w:themeShade="BF"/>
        </w:rPr>
      </w:pPr>
    </w:p>
    <w:sdt>
      <w:sdtPr>
        <w:rPr>
          <w:rFonts w:ascii="Century Gothic" w:eastAsiaTheme="minorHAnsi" w:hAnsi="Century Gothic" w:cstheme="minorBidi"/>
          <w:b w:val="0"/>
          <w:bCs w:val="0"/>
          <w:color w:val="auto"/>
          <w:sz w:val="22"/>
          <w:szCs w:val="22"/>
          <w:lang w:val="fr-BE"/>
        </w:rPr>
        <w:id w:val="5014684"/>
        <w:docPartObj>
          <w:docPartGallery w:val="Table of Contents"/>
          <w:docPartUnique/>
        </w:docPartObj>
      </w:sdtPr>
      <w:sdtContent>
        <w:p w:rsidR="00472F17" w:rsidRPr="000D1929" w:rsidRDefault="00472F17">
          <w:pPr>
            <w:pStyle w:val="En-ttedetabledesmatires"/>
            <w:rPr>
              <w:rFonts w:ascii="Century Gothic" w:hAnsi="Century Gothic"/>
              <w:sz w:val="22"/>
              <w:szCs w:val="22"/>
            </w:rPr>
          </w:pPr>
          <w:r w:rsidRPr="000D1929">
            <w:rPr>
              <w:rFonts w:ascii="Century Gothic" w:hAnsi="Century Gothic"/>
              <w:sz w:val="22"/>
              <w:szCs w:val="22"/>
            </w:rPr>
            <w:t>Table des matières</w:t>
          </w:r>
        </w:p>
        <w:p w:rsidR="004928AD" w:rsidRDefault="00510021">
          <w:pPr>
            <w:pStyle w:val="TM1"/>
            <w:tabs>
              <w:tab w:val="left" w:pos="440"/>
              <w:tab w:val="right" w:leader="dot" w:pos="9062"/>
            </w:tabs>
            <w:rPr>
              <w:rFonts w:eastAsiaTheme="minorEastAsia"/>
              <w:noProof/>
              <w:lang w:eastAsia="fr-BE"/>
            </w:rPr>
          </w:pPr>
          <w:r w:rsidRPr="000D1929">
            <w:rPr>
              <w:rFonts w:ascii="Century Gothic" w:hAnsi="Century Gothic"/>
              <w:lang w:val="fr-FR"/>
            </w:rPr>
            <w:fldChar w:fldCharType="begin"/>
          </w:r>
          <w:r w:rsidR="00472F17" w:rsidRPr="000D1929">
            <w:rPr>
              <w:rFonts w:ascii="Century Gothic" w:hAnsi="Century Gothic"/>
              <w:lang w:val="fr-FR"/>
            </w:rPr>
            <w:instrText xml:space="preserve"> TOC \o "1-3" \h \z \u </w:instrText>
          </w:r>
          <w:r w:rsidRPr="000D1929">
            <w:rPr>
              <w:rFonts w:ascii="Century Gothic" w:hAnsi="Century Gothic"/>
              <w:lang w:val="fr-FR"/>
            </w:rPr>
            <w:fldChar w:fldCharType="separate"/>
          </w:r>
          <w:hyperlink w:anchor="_Toc475970795" w:history="1">
            <w:r w:rsidR="004928AD" w:rsidRPr="00190252">
              <w:rPr>
                <w:rStyle w:val="Lienhypertexte"/>
                <w:noProof/>
              </w:rPr>
              <w:t>1.</w:t>
            </w:r>
            <w:r w:rsidR="004928AD">
              <w:rPr>
                <w:rFonts w:eastAsiaTheme="minorEastAsia"/>
                <w:noProof/>
                <w:lang w:eastAsia="fr-BE"/>
              </w:rPr>
              <w:tab/>
            </w:r>
            <w:r w:rsidR="004928AD" w:rsidRPr="00190252">
              <w:rPr>
                <w:rStyle w:val="Lienhypertexte"/>
                <w:noProof/>
              </w:rPr>
              <w:t>Contexte</w:t>
            </w:r>
            <w:r w:rsidR="004928AD">
              <w:rPr>
                <w:noProof/>
                <w:webHidden/>
              </w:rPr>
              <w:tab/>
            </w:r>
            <w:r>
              <w:rPr>
                <w:noProof/>
                <w:webHidden/>
              </w:rPr>
              <w:fldChar w:fldCharType="begin"/>
            </w:r>
            <w:r w:rsidR="004928AD">
              <w:rPr>
                <w:noProof/>
                <w:webHidden/>
              </w:rPr>
              <w:instrText xml:space="preserve"> PAGEREF _Toc475970795 \h </w:instrText>
            </w:r>
            <w:r>
              <w:rPr>
                <w:noProof/>
                <w:webHidden/>
              </w:rPr>
            </w:r>
            <w:r>
              <w:rPr>
                <w:noProof/>
                <w:webHidden/>
              </w:rPr>
              <w:fldChar w:fldCharType="separate"/>
            </w:r>
            <w:r w:rsidR="00C439D0">
              <w:rPr>
                <w:noProof/>
                <w:webHidden/>
              </w:rPr>
              <w:t>2</w:t>
            </w:r>
            <w:r>
              <w:rPr>
                <w:noProof/>
                <w:webHidden/>
              </w:rPr>
              <w:fldChar w:fldCharType="end"/>
            </w:r>
          </w:hyperlink>
        </w:p>
        <w:p w:rsidR="004928AD" w:rsidRDefault="00510021">
          <w:pPr>
            <w:pStyle w:val="TM1"/>
            <w:tabs>
              <w:tab w:val="left" w:pos="440"/>
              <w:tab w:val="right" w:leader="dot" w:pos="9062"/>
            </w:tabs>
            <w:rPr>
              <w:rFonts w:eastAsiaTheme="minorEastAsia"/>
              <w:noProof/>
              <w:lang w:eastAsia="fr-BE"/>
            </w:rPr>
          </w:pPr>
          <w:hyperlink w:anchor="_Toc475970796" w:history="1">
            <w:r w:rsidR="004928AD" w:rsidRPr="00190252">
              <w:rPr>
                <w:rStyle w:val="Lienhypertexte"/>
                <w:noProof/>
              </w:rPr>
              <w:t>2.</w:t>
            </w:r>
            <w:r w:rsidR="004928AD">
              <w:rPr>
                <w:rFonts w:eastAsiaTheme="minorEastAsia"/>
                <w:noProof/>
                <w:lang w:eastAsia="fr-BE"/>
              </w:rPr>
              <w:tab/>
            </w:r>
            <w:r w:rsidR="004928AD" w:rsidRPr="00190252">
              <w:rPr>
                <w:rStyle w:val="Lienhypertexte"/>
                <w:noProof/>
              </w:rPr>
              <w:t>Objectif de la consultation</w:t>
            </w:r>
            <w:r w:rsidR="004928AD">
              <w:rPr>
                <w:noProof/>
                <w:webHidden/>
              </w:rPr>
              <w:tab/>
            </w:r>
            <w:r>
              <w:rPr>
                <w:noProof/>
                <w:webHidden/>
              </w:rPr>
              <w:fldChar w:fldCharType="begin"/>
            </w:r>
            <w:r w:rsidR="004928AD">
              <w:rPr>
                <w:noProof/>
                <w:webHidden/>
              </w:rPr>
              <w:instrText xml:space="preserve"> PAGEREF _Toc475970796 \h </w:instrText>
            </w:r>
            <w:r>
              <w:rPr>
                <w:noProof/>
                <w:webHidden/>
              </w:rPr>
            </w:r>
            <w:r>
              <w:rPr>
                <w:noProof/>
                <w:webHidden/>
              </w:rPr>
              <w:fldChar w:fldCharType="separate"/>
            </w:r>
            <w:r w:rsidR="00C439D0">
              <w:rPr>
                <w:noProof/>
                <w:webHidden/>
              </w:rPr>
              <w:t>7</w:t>
            </w:r>
            <w:r>
              <w:rPr>
                <w:noProof/>
                <w:webHidden/>
              </w:rPr>
              <w:fldChar w:fldCharType="end"/>
            </w:r>
          </w:hyperlink>
        </w:p>
        <w:p w:rsidR="004928AD" w:rsidRDefault="00510021">
          <w:pPr>
            <w:pStyle w:val="TM1"/>
            <w:tabs>
              <w:tab w:val="left" w:pos="440"/>
              <w:tab w:val="right" w:leader="dot" w:pos="9062"/>
            </w:tabs>
            <w:rPr>
              <w:rFonts w:eastAsiaTheme="minorEastAsia"/>
              <w:noProof/>
              <w:lang w:eastAsia="fr-BE"/>
            </w:rPr>
          </w:pPr>
          <w:hyperlink w:anchor="_Toc475970797" w:history="1">
            <w:r w:rsidR="004928AD" w:rsidRPr="00190252">
              <w:rPr>
                <w:rStyle w:val="Lienhypertexte"/>
                <w:noProof/>
              </w:rPr>
              <w:t>3.</w:t>
            </w:r>
            <w:r w:rsidR="004928AD">
              <w:rPr>
                <w:rFonts w:eastAsiaTheme="minorEastAsia"/>
                <w:noProof/>
                <w:lang w:eastAsia="fr-BE"/>
              </w:rPr>
              <w:tab/>
            </w:r>
            <w:r w:rsidR="004928AD" w:rsidRPr="00190252">
              <w:rPr>
                <w:rStyle w:val="Lienhypertexte"/>
                <w:noProof/>
              </w:rPr>
              <w:t>Structure du document</w:t>
            </w:r>
            <w:r w:rsidR="004928AD">
              <w:rPr>
                <w:noProof/>
                <w:webHidden/>
              </w:rPr>
              <w:tab/>
            </w:r>
            <w:r>
              <w:rPr>
                <w:noProof/>
                <w:webHidden/>
              </w:rPr>
              <w:fldChar w:fldCharType="begin"/>
            </w:r>
            <w:r w:rsidR="004928AD">
              <w:rPr>
                <w:noProof/>
                <w:webHidden/>
              </w:rPr>
              <w:instrText xml:space="preserve"> PAGEREF _Toc475970797 \h </w:instrText>
            </w:r>
            <w:r>
              <w:rPr>
                <w:noProof/>
                <w:webHidden/>
              </w:rPr>
            </w:r>
            <w:r>
              <w:rPr>
                <w:noProof/>
                <w:webHidden/>
              </w:rPr>
              <w:fldChar w:fldCharType="separate"/>
            </w:r>
            <w:r w:rsidR="00C439D0">
              <w:rPr>
                <w:noProof/>
                <w:webHidden/>
              </w:rPr>
              <w:t>7</w:t>
            </w:r>
            <w:r>
              <w:rPr>
                <w:noProof/>
                <w:webHidden/>
              </w:rPr>
              <w:fldChar w:fldCharType="end"/>
            </w:r>
          </w:hyperlink>
        </w:p>
        <w:p w:rsidR="004928AD" w:rsidRDefault="00510021">
          <w:pPr>
            <w:pStyle w:val="TM1"/>
            <w:tabs>
              <w:tab w:val="left" w:pos="440"/>
              <w:tab w:val="right" w:leader="dot" w:pos="9062"/>
            </w:tabs>
            <w:rPr>
              <w:rFonts w:eastAsiaTheme="minorEastAsia"/>
              <w:noProof/>
              <w:lang w:eastAsia="fr-BE"/>
            </w:rPr>
          </w:pPr>
          <w:hyperlink w:anchor="_Toc475970798" w:history="1">
            <w:r w:rsidR="004928AD" w:rsidRPr="00190252">
              <w:rPr>
                <w:rStyle w:val="Lienhypertexte"/>
                <w:noProof/>
              </w:rPr>
              <w:t>4.</w:t>
            </w:r>
            <w:r w:rsidR="004928AD">
              <w:rPr>
                <w:rFonts w:eastAsiaTheme="minorEastAsia"/>
                <w:noProof/>
                <w:lang w:eastAsia="fr-BE"/>
              </w:rPr>
              <w:tab/>
            </w:r>
            <w:r w:rsidR="004928AD" w:rsidRPr="00190252">
              <w:rPr>
                <w:rStyle w:val="Lienhypertexte"/>
                <w:noProof/>
              </w:rPr>
              <w:t>Etat des lieux des politiques et mesures existantes en matière de politiques énergétique et climatique : Dimension Recherche, Innovation &amp; Compétitivité</w:t>
            </w:r>
            <w:r w:rsidR="004928AD">
              <w:rPr>
                <w:noProof/>
                <w:webHidden/>
              </w:rPr>
              <w:tab/>
            </w:r>
            <w:r>
              <w:rPr>
                <w:noProof/>
                <w:webHidden/>
              </w:rPr>
              <w:fldChar w:fldCharType="begin"/>
            </w:r>
            <w:r w:rsidR="004928AD">
              <w:rPr>
                <w:noProof/>
                <w:webHidden/>
              </w:rPr>
              <w:instrText xml:space="preserve"> PAGEREF _Toc475970798 \h </w:instrText>
            </w:r>
            <w:r>
              <w:rPr>
                <w:noProof/>
                <w:webHidden/>
              </w:rPr>
            </w:r>
            <w:r>
              <w:rPr>
                <w:noProof/>
                <w:webHidden/>
              </w:rPr>
              <w:fldChar w:fldCharType="separate"/>
            </w:r>
            <w:r w:rsidR="00C439D0">
              <w:rPr>
                <w:noProof/>
                <w:webHidden/>
              </w:rPr>
              <w:t>8</w:t>
            </w:r>
            <w:r>
              <w:rPr>
                <w:noProof/>
                <w:webHidden/>
              </w:rPr>
              <w:fldChar w:fldCharType="end"/>
            </w:r>
          </w:hyperlink>
        </w:p>
        <w:p w:rsidR="004928AD" w:rsidRDefault="00510021">
          <w:pPr>
            <w:pStyle w:val="TM2"/>
            <w:tabs>
              <w:tab w:val="left" w:pos="880"/>
              <w:tab w:val="right" w:leader="dot" w:pos="9062"/>
            </w:tabs>
            <w:rPr>
              <w:rFonts w:eastAsiaTheme="minorEastAsia"/>
              <w:noProof/>
              <w:lang w:eastAsia="fr-BE"/>
            </w:rPr>
          </w:pPr>
          <w:hyperlink w:anchor="_Toc475970799" w:history="1">
            <w:r w:rsidR="004928AD" w:rsidRPr="00190252">
              <w:rPr>
                <w:rStyle w:val="Lienhypertexte"/>
                <w:noProof/>
              </w:rPr>
              <w:t>4.1.</w:t>
            </w:r>
            <w:r w:rsidR="004928AD">
              <w:rPr>
                <w:rFonts w:eastAsiaTheme="minorEastAsia"/>
                <w:noProof/>
                <w:lang w:eastAsia="fr-BE"/>
              </w:rPr>
              <w:tab/>
            </w:r>
            <w:r w:rsidR="004928AD" w:rsidRPr="00190252">
              <w:rPr>
                <w:rStyle w:val="Lienhypertexte"/>
                <w:noProof/>
              </w:rPr>
              <w:t>Objectifs en matière  de recherche, innovation et compétitivité en énergie</w:t>
            </w:r>
            <w:r w:rsidR="004928AD">
              <w:rPr>
                <w:noProof/>
                <w:webHidden/>
              </w:rPr>
              <w:tab/>
            </w:r>
            <w:r>
              <w:rPr>
                <w:noProof/>
                <w:webHidden/>
              </w:rPr>
              <w:fldChar w:fldCharType="begin"/>
            </w:r>
            <w:r w:rsidR="004928AD">
              <w:rPr>
                <w:noProof/>
                <w:webHidden/>
              </w:rPr>
              <w:instrText xml:space="preserve"> PAGEREF _Toc475970799 \h </w:instrText>
            </w:r>
            <w:r>
              <w:rPr>
                <w:noProof/>
                <w:webHidden/>
              </w:rPr>
            </w:r>
            <w:r>
              <w:rPr>
                <w:noProof/>
                <w:webHidden/>
              </w:rPr>
              <w:fldChar w:fldCharType="separate"/>
            </w:r>
            <w:r w:rsidR="00C439D0">
              <w:rPr>
                <w:noProof/>
                <w:webHidden/>
              </w:rPr>
              <w:t>8</w:t>
            </w:r>
            <w:r>
              <w:rPr>
                <w:noProof/>
                <w:webHidden/>
              </w:rPr>
              <w:fldChar w:fldCharType="end"/>
            </w:r>
          </w:hyperlink>
        </w:p>
        <w:p w:rsidR="004928AD" w:rsidRDefault="00510021">
          <w:pPr>
            <w:pStyle w:val="TM2"/>
            <w:tabs>
              <w:tab w:val="left" w:pos="880"/>
              <w:tab w:val="right" w:leader="dot" w:pos="9062"/>
            </w:tabs>
            <w:rPr>
              <w:rFonts w:eastAsiaTheme="minorEastAsia"/>
              <w:noProof/>
              <w:lang w:eastAsia="fr-BE"/>
            </w:rPr>
          </w:pPr>
          <w:hyperlink w:anchor="_Toc475970800" w:history="1">
            <w:r w:rsidR="004928AD" w:rsidRPr="00190252">
              <w:rPr>
                <w:rStyle w:val="Lienhypertexte"/>
                <w:noProof/>
              </w:rPr>
              <w:t>4.2.</w:t>
            </w:r>
            <w:r w:rsidR="004928AD">
              <w:rPr>
                <w:rFonts w:eastAsiaTheme="minorEastAsia"/>
                <w:noProof/>
                <w:lang w:eastAsia="fr-BE"/>
              </w:rPr>
              <w:tab/>
            </w:r>
            <w:r w:rsidR="004928AD" w:rsidRPr="00190252">
              <w:rPr>
                <w:rStyle w:val="Lienhypertexte"/>
                <w:noProof/>
              </w:rPr>
              <w:t>Mesures existantes</w:t>
            </w:r>
            <w:r w:rsidR="004928AD">
              <w:rPr>
                <w:noProof/>
                <w:webHidden/>
              </w:rPr>
              <w:tab/>
            </w:r>
            <w:r>
              <w:rPr>
                <w:noProof/>
                <w:webHidden/>
              </w:rPr>
              <w:fldChar w:fldCharType="begin"/>
            </w:r>
            <w:r w:rsidR="004928AD">
              <w:rPr>
                <w:noProof/>
                <w:webHidden/>
              </w:rPr>
              <w:instrText xml:space="preserve"> PAGEREF _Toc475970800 \h </w:instrText>
            </w:r>
            <w:r>
              <w:rPr>
                <w:noProof/>
                <w:webHidden/>
              </w:rPr>
            </w:r>
            <w:r>
              <w:rPr>
                <w:noProof/>
                <w:webHidden/>
              </w:rPr>
              <w:fldChar w:fldCharType="separate"/>
            </w:r>
            <w:r w:rsidR="00C439D0">
              <w:rPr>
                <w:noProof/>
                <w:webHidden/>
              </w:rPr>
              <w:t>10</w:t>
            </w:r>
            <w:r>
              <w:rPr>
                <w:noProof/>
                <w:webHidden/>
              </w:rPr>
              <w:fldChar w:fldCharType="end"/>
            </w:r>
          </w:hyperlink>
        </w:p>
        <w:p w:rsidR="004928AD" w:rsidRDefault="00510021">
          <w:pPr>
            <w:pStyle w:val="TM2"/>
            <w:tabs>
              <w:tab w:val="left" w:pos="880"/>
              <w:tab w:val="right" w:leader="dot" w:pos="9062"/>
            </w:tabs>
            <w:rPr>
              <w:rFonts w:eastAsiaTheme="minorEastAsia"/>
              <w:noProof/>
              <w:lang w:eastAsia="fr-BE"/>
            </w:rPr>
          </w:pPr>
          <w:hyperlink w:anchor="_Toc475970801" w:history="1">
            <w:r w:rsidR="004928AD" w:rsidRPr="00190252">
              <w:rPr>
                <w:rStyle w:val="Lienhypertexte"/>
                <w:noProof/>
              </w:rPr>
              <w:t>4.3.</w:t>
            </w:r>
            <w:r w:rsidR="004928AD">
              <w:rPr>
                <w:rFonts w:eastAsiaTheme="minorEastAsia"/>
                <w:noProof/>
                <w:lang w:eastAsia="fr-BE"/>
              </w:rPr>
              <w:tab/>
            </w:r>
            <w:r w:rsidR="004928AD" w:rsidRPr="00190252">
              <w:rPr>
                <w:rStyle w:val="Lienhypertexte"/>
                <w:noProof/>
              </w:rPr>
              <w:t>Chiffres clés</w:t>
            </w:r>
            <w:r w:rsidR="004928AD">
              <w:rPr>
                <w:noProof/>
                <w:webHidden/>
              </w:rPr>
              <w:tab/>
            </w:r>
            <w:r>
              <w:rPr>
                <w:noProof/>
                <w:webHidden/>
              </w:rPr>
              <w:fldChar w:fldCharType="begin"/>
            </w:r>
            <w:r w:rsidR="004928AD">
              <w:rPr>
                <w:noProof/>
                <w:webHidden/>
              </w:rPr>
              <w:instrText xml:space="preserve"> PAGEREF _Toc475970801 \h </w:instrText>
            </w:r>
            <w:r>
              <w:rPr>
                <w:noProof/>
                <w:webHidden/>
              </w:rPr>
            </w:r>
            <w:r>
              <w:rPr>
                <w:noProof/>
                <w:webHidden/>
              </w:rPr>
              <w:fldChar w:fldCharType="separate"/>
            </w:r>
            <w:r w:rsidR="00C439D0">
              <w:rPr>
                <w:noProof/>
                <w:webHidden/>
              </w:rPr>
              <w:t>12</w:t>
            </w:r>
            <w:r>
              <w:rPr>
                <w:noProof/>
                <w:webHidden/>
              </w:rPr>
              <w:fldChar w:fldCharType="end"/>
            </w:r>
          </w:hyperlink>
        </w:p>
        <w:p w:rsidR="004928AD" w:rsidRDefault="00510021">
          <w:pPr>
            <w:pStyle w:val="TM1"/>
            <w:tabs>
              <w:tab w:val="left" w:pos="440"/>
              <w:tab w:val="right" w:leader="dot" w:pos="9062"/>
            </w:tabs>
            <w:rPr>
              <w:rFonts w:eastAsiaTheme="minorEastAsia"/>
              <w:noProof/>
              <w:lang w:eastAsia="fr-BE"/>
            </w:rPr>
          </w:pPr>
          <w:hyperlink w:anchor="_Toc475970802" w:history="1">
            <w:r w:rsidR="004928AD" w:rsidRPr="00190252">
              <w:rPr>
                <w:rStyle w:val="Lienhypertexte"/>
                <w:noProof/>
              </w:rPr>
              <w:t>5.</w:t>
            </w:r>
            <w:r w:rsidR="004928AD">
              <w:rPr>
                <w:rFonts w:eastAsiaTheme="minorEastAsia"/>
                <w:noProof/>
                <w:lang w:eastAsia="fr-BE"/>
              </w:rPr>
              <w:tab/>
            </w:r>
            <w:r w:rsidR="004928AD" w:rsidRPr="00190252">
              <w:rPr>
                <w:rStyle w:val="Lienhypertexte"/>
                <w:noProof/>
              </w:rPr>
              <w:t>Questionnaire</w:t>
            </w:r>
            <w:r w:rsidR="004928AD">
              <w:rPr>
                <w:noProof/>
                <w:webHidden/>
              </w:rPr>
              <w:tab/>
            </w:r>
            <w:r>
              <w:rPr>
                <w:noProof/>
                <w:webHidden/>
              </w:rPr>
              <w:fldChar w:fldCharType="begin"/>
            </w:r>
            <w:r w:rsidR="004928AD">
              <w:rPr>
                <w:noProof/>
                <w:webHidden/>
              </w:rPr>
              <w:instrText xml:space="preserve"> PAGEREF _Toc475970802 \h </w:instrText>
            </w:r>
            <w:r>
              <w:rPr>
                <w:noProof/>
                <w:webHidden/>
              </w:rPr>
            </w:r>
            <w:r>
              <w:rPr>
                <w:noProof/>
                <w:webHidden/>
              </w:rPr>
              <w:fldChar w:fldCharType="separate"/>
            </w:r>
            <w:r w:rsidR="00C439D0">
              <w:rPr>
                <w:noProof/>
                <w:webHidden/>
              </w:rPr>
              <w:t>14</w:t>
            </w:r>
            <w:r>
              <w:rPr>
                <w:noProof/>
                <w:webHidden/>
              </w:rPr>
              <w:fldChar w:fldCharType="end"/>
            </w:r>
          </w:hyperlink>
        </w:p>
        <w:p w:rsidR="00472F17" w:rsidRPr="000D1929" w:rsidRDefault="00510021">
          <w:pPr>
            <w:rPr>
              <w:rFonts w:ascii="Century Gothic" w:hAnsi="Century Gothic"/>
              <w:lang w:val="fr-FR"/>
            </w:rPr>
          </w:pPr>
          <w:r w:rsidRPr="000D1929">
            <w:rPr>
              <w:rFonts w:ascii="Century Gothic" w:hAnsi="Century Gothic"/>
              <w:lang w:val="fr-FR"/>
            </w:rPr>
            <w:fldChar w:fldCharType="end"/>
          </w:r>
        </w:p>
      </w:sdtContent>
    </w:sdt>
    <w:p w:rsidR="00472F17" w:rsidRPr="000D1929" w:rsidRDefault="00472F17">
      <w:pPr>
        <w:rPr>
          <w:rFonts w:ascii="Century Gothic" w:eastAsiaTheme="majorEastAsia" w:hAnsi="Century Gothic" w:cstheme="majorBidi"/>
          <w:b/>
          <w:bCs/>
          <w:color w:val="365F91" w:themeColor="accent1" w:themeShade="BF"/>
        </w:rPr>
      </w:pPr>
      <w:r w:rsidRPr="000D1929">
        <w:rPr>
          <w:rFonts w:ascii="Century Gothic" w:hAnsi="Century Gothic"/>
        </w:rPr>
        <w:br w:type="page"/>
      </w:r>
    </w:p>
    <w:p w:rsidR="000D1929" w:rsidRDefault="000D1929" w:rsidP="000D1929">
      <w:pPr>
        <w:pStyle w:val="Titre1"/>
        <w:ind w:left="720"/>
        <w:rPr>
          <w:rFonts w:ascii="Century Gothic" w:hAnsi="Century Gothic"/>
          <w:sz w:val="22"/>
          <w:szCs w:val="22"/>
        </w:rPr>
      </w:pPr>
    </w:p>
    <w:p w:rsidR="00756CB3" w:rsidRPr="000D1929" w:rsidRDefault="00756CB3">
      <w:pPr>
        <w:rPr>
          <w:rFonts w:ascii="Century Gothic" w:hAnsi="Century Gothic"/>
        </w:rPr>
      </w:pPr>
    </w:p>
    <w:p w:rsidR="00756CB3" w:rsidRPr="000D1929" w:rsidRDefault="00756CB3" w:rsidP="0080402C">
      <w:pPr>
        <w:pStyle w:val="Titre1"/>
        <w:numPr>
          <w:ilvl w:val="0"/>
          <w:numId w:val="11"/>
        </w:numPr>
      </w:pPr>
      <w:bookmarkStart w:id="0" w:name="_Toc475970795"/>
      <w:r w:rsidRPr="000D1929">
        <w:t>Contexte</w:t>
      </w:r>
      <w:bookmarkEnd w:id="0"/>
    </w:p>
    <w:p w:rsidR="00756CB3" w:rsidRPr="000D1929" w:rsidRDefault="00756CB3" w:rsidP="00643961">
      <w:pPr>
        <w:jc w:val="both"/>
        <w:rPr>
          <w:rFonts w:ascii="Century Gothic" w:hAnsi="Century Gothic"/>
        </w:rPr>
      </w:pPr>
    </w:p>
    <w:p w:rsidR="00AA5EED" w:rsidRPr="000D1929" w:rsidRDefault="00AA5EED" w:rsidP="007B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Le SET</w:t>
      </w:r>
      <w:r w:rsidR="00560BA4" w:rsidRPr="000D1929">
        <w:rPr>
          <w:rFonts w:ascii="Century Gothic" w:eastAsia="Times New Roman" w:hAnsi="Century Gothic" w:cs="Courier New"/>
          <w:lang w:val="fr-FR" w:eastAsia="fr-BE"/>
        </w:rPr>
        <w:t xml:space="preserve"> Plan (Strategic Energy Technology Plan)</w:t>
      </w:r>
      <w:r w:rsidRPr="000D1929">
        <w:rPr>
          <w:rFonts w:ascii="Century Gothic" w:eastAsia="Times New Roman" w:hAnsi="Century Gothic" w:cs="Courier New"/>
          <w:lang w:val="fr-FR" w:eastAsia="fr-BE"/>
        </w:rPr>
        <w:t>, adopté par l'Union européenne en 2008, constitu</w:t>
      </w:r>
      <w:r w:rsidR="00643961" w:rsidRPr="000D1929">
        <w:rPr>
          <w:rFonts w:ascii="Century Gothic" w:eastAsia="Times New Roman" w:hAnsi="Century Gothic" w:cs="Courier New"/>
          <w:lang w:val="fr-FR" w:eastAsia="fr-BE"/>
        </w:rPr>
        <w:t>ait</w:t>
      </w:r>
      <w:r w:rsidRPr="000D1929">
        <w:rPr>
          <w:rFonts w:ascii="Century Gothic" w:eastAsia="Times New Roman" w:hAnsi="Century Gothic" w:cs="Courier New"/>
          <w:lang w:val="fr-FR" w:eastAsia="fr-BE"/>
        </w:rPr>
        <w:t xml:space="preserve"> un premier pas vers l'établissement d'une politique énergétique pour l'Europe. Il </w:t>
      </w:r>
      <w:r w:rsidR="00643961" w:rsidRPr="000D1929">
        <w:rPr>
          <w:rFonts w:ascii="Century Gothic" w:eastAsia="Times New Roman" w:hAnsi="Century Gothic" w:cs="Courier New"/>
          <w:lang w:val="fr-FR" w:eastAsia="fr-BE"/>
        </w:rPr>
        <w:t>devait s’agir</w:t>
      </w:r>
      <w:r w:rsidRPr="000D1929">
        <w:rPr>
          <w:rFonts w:ascii="Century Gothic" w:eastAsia="Times New Roman" w:hAnsi="Century Gothic" w:cs="Courier New"/>
          <w:lang w:val="fr-FR" w:eastAsia="fr-BE"/>
        </w:rPr>
        <w:t xml:space="preserve"> du principal outil d'aide à la décision de la politique énergétique européenne, avec pour objectif</w:t>
      </w:r>
      <w:r w:rsidR="00213C48">
        <w:rPr>
          <w:rFonts w:ascii="Century Gothic" w:eastAsia="Times New Roman" w:hAnsi="Century Gothic" w:cs="Courier New"/>
          <w:lang w:val="fr-FR" w:eastAsia="fr-BE"/>
        </w:rPr>
        <w:t>s</w:t>
      </w:r>
      <w:r w:rsidRPr="000D1929">
        <w:rPr>
          <w:rFonts w:ascii="Century Gothic" w:eastAsia="Times New Roman" w:hAnsi="Century Gothic" w:cs="Courier New"/>
          <w:lang w:val="fr-FR" w:eastAsia="fr-BE"/>
        </w:rPr>
        <w:t>:</w:t>
      </w:r>
    </w:p>
    <w:p w:rsidR="00AA5EED" w:rsidRPr="000D1929" w:rsidRDefault="00AA5EED" w:rsidP="007B0343">
      <w:pPr>
        <w:pStyle w:val="Paragraphedeliste"/>
        <w:numPr>
          <w:ilvl w:val="0"/>
          <w:numId w:val="9"/>
        </w:numPr>
        <w:tabs>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Accélérer le développement des connaissances, le transfert de technologie et l</w:t>
      </w:r>
      <w:r w:rsidR="00C3215B">
        <w:rPr>
          <w:rFonts w:ascii="Century Gothic" w:eastAsia="Times New Roman" w:hAnsi="Century Gothic" w:cs="Courier New"/>
          <w:lang w:val="fr-FR" w:eastAsia="fr-BE"/>
        </w:rPr>
        <w:t>eurs</w:t>
      </w:r>
      <w:r w:rsidRPr="000D1929">
        <w:rPr>
          <w:rFonts w:ascii="Century Gothic" w:eastAsia="Times New Roman" w:hAnsi="Century Gothic" w:cs="Courier New"/>
          <w:lang w:val="fr-FR" w:eastAsia="fr-BE"/>
        </w:rPr>
        <w:t xml:space="preserve"> mise</w:t>
      </w:r>
      <w:r w:rsidR="00C3215B">
        <w:rPr>
          <w:rFonts w:ascii="Century Gothic" w:eastAsia="Times New Roman" w:hAnsi="Century Gothic" w:cs="Courier New"/>
          <w:lang w:val="fr-FR" w:eastAsia="fr-BE"/>
        </w:rPr>
        <w:t>s</w:t>
      </w:r>
      <w:r w:rsidRPr="000D1929">
        <w:rPr>
          <w:rFonts w:ascii="Century Gothic" w:eastAsia="Times New Roman" w:hAnsi="Century Gothic" w:cs="Courier New"/>
          <w:lang w:val="fr-FR" w:eastAsia="fr-BE"/>
        </w:rPr>
        <w:t xml:space="preserve"> en place;</w:t>
      </w:r>
    </w:p>
    <w:p w:rsidR="00643961" w:rsidRPr="000D1929" w:rsidRDefault="00AA5EED" w:rsidP="007B0343">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Maintenir le leadership industriel de l'UE sur les technologies énergétiques à faible teneur en carbone;</w:t>
      </w:r>
    </w:p>
    <w:p w:rsidR="00643961" w:rsidRPr="000D1929" w:rsidRDefault="00AA5EED" w:rsidP="007B0343">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Encourager la science à transformer les technologies énergétiques pour atteindre les objectifs de 2020 en matière d'énergie et de changement climatique;</w:t>
      </w:r>
    </w:p>
    <w:p w:rsidR="00AA5EED" w:rsidRPr="000D1929" w:rsidRDefault="00AA5EED" w:rsidP="007B0343">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Contribuer à la transition mondiale vers une économie à faible intensité de carbone d 'ici 2050.</w:t>
      </w:r>
    </w:p>
    <w:p w:rsidR="00AA5EED" w:rsidRPr="000D1929" w:rsidRDefault="00AA5EED" w:rsidP="007B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 xml:space="preserve"> La mise en œuvre du plan SET a </w:t>
      </w:r>
      <w:r w:rsidR="00643961" w:rsidRPr="000D1929">
        <w:rPr>
          <w:rFonts w:ascii="Century Gothic" w:eastAsia="Times New Roman" w:hAnsi="Century Gothic" w:cs="Courier New"/>
          <w:lang w:val="fr-FR" w:eastAsia="fr-BE"/>
        </w:rPr>
        <w:t>débuté</w:t>
      </w:r>
      <w:r w:rsidRPr="000D1929">
        <w:rPr>
          <w:rFonts w:ascii="Century Gothic" w:eastAsia="Times New Roman" w:hAnsi="Century Gothic" w:cs="Courier New"/>
          <w:lang w:val="fr-FR" w:eastAsia="fr-BE"/>
        </w:rPr>
        <w:t xml:space="preserve"> par la mise en place d'initiatives industrielles européennes (EII) qui rassembl</w:t>
      </w:r>
      <w:r w:rsidR="00643961" w:rsidRPr="000D1929">
        <w:rPr>
          <w:rFonts w:ascii="Century Gothic" w:eastAsia="Times New Roman" w:hAnsi="Century Gothic" w:cs="Courier New"/>
          <w:lang w:val="fr-FR" w:eastAsia="fr-BE"/>
        </w:rPr>
        <w:t>ai</w:t>
      </w:r>
      <w:r w:rsidRPr="000D1929">
        <w:rPr>
          <w:rFonts w:ascii="Century Gothic" w:eastAsia="Times New Roman" w:hAnsi="Century Gothic" w:cs="Courier New"/>
          <w:lang w:val="fr-FR" w:eastAsia="fr-BE"/>
        </w:rPr>
        <w:t xml:space="preserve">ent l'industrie, la communauté de la recherche, les États membres et la Commission </w:t>
      </w:r>
      <w:r w:rsidR="00643961" w:rsidRPr="000D1929">
        <w:rPr>
          <w:rFonts w:ascii="Century Gothic" w:eastAsia="Times New Roman" w:hAnsi="Century Gothic" w:cs="Courier New"/>
          <w:lang w:val="fr-FR" w:eastAsia="fr-BE"/>
        </w:rPr>
        <w:t>en vue de mettre en œuvre des Partenariats Public-Privé afin de partager les risques dans le développement rapide de ces technologies-clé au niveau européen.</w:t>
      </w:r>
      <w:r w:rsidRPr="000D1929">
        <w:rPr>
          <w:rFonts w:ascii="Century Gothic" w:eastAsia="Times New Roman" w:hAnsi="Century Gothic" w:cs="Courier New"/>
          <w:lang w:val="fr-FR" w:eastAsia="fr-BE"/>
        </w:rPr>
        <w:t xml:space="preserve"> Parallèlement, l'Alliance européenne pour la recherche énergétique (EERA) travaille depuis 2008 à aligner les activités de R &amp; D des différents organismes de recherche sur les besoins </w:t>
      </w:r>
      <w:r w:rsidR="00643961" w:rsidRPr="000D1929">
        <w:rPr>
          <w:rFonts w:ascii="Century Gothic" w:eastAsia="Times New Roman" w:hAnsi="Century Gothic" w:cs="Courier New"/>
          <w:lang w:val="fr-FR" w:eastAsia="fr-BE"/>
        </w:rPr>
        <w:t>et les</w:t>
      </w:r>
      <w:r w:rsidRPr="000D1929">
        <w:rPr>
          <w:rFonts w:ascii="Century Gothic" w:eastAsia="Times New Roman" w:hAnsi="Century Gothic" w:cs="Courier New"/>
          <w:lang w:val="fr-FR" w:eastAsia="fr-BE"/>
        </w:rPr>
        <w:t xml:space="preserve"> priorités du SET </w:t>
      </w:r>
      <w:r w:rsidR="00643961" w:rsidRPr="000D1929">
        <w:rPr>
          <w:rFonts w:ascii="Century Gothic" w:eastAsia="Times New Roman" w:hAnsi="Century Gothic" w:cs="Courier New"/>
          <w:lang w:val="fr-FR" w:eastAsia="fr-BE"/>
        </w:rPr>
        <w:t xml:space="preserve">Plan </w:t>
      </w:r>
      <w:r w:rsidRPr="000D1929">
        <w:rPr>
          <w:rFonts w:ascii="Century Gothic" w:eastAsia="Times New Roman" w:hAnsi="Century Gothic" w:cs="Courier New"/>
          <w:lang w:val="fr-FR" w:eastAsia="fr-BE"/>
        </w:rPr>
        <w:t>et à établir un cadre de programmation commun au niveau de l'UE. Le budget prévisionnel du SET</w:t>
      </w:r>
      <w:r w:rsidR="00643961" w:rsidRPr="000D1929">
        <w:rPr>
          <w:rFonts w:ascii="Century Gothic" w:eastAsia="Times New Roman" w:hAnsi="Century Gothic" w:cs="Courier New"/>
          <w:lang w:val="fr-FR" w:eastAsia="fr-BE"/>
        </w:rPr>
        <w:t xml:space="preserve"> Plan</w:t>
      </w:r>
      <w:r w:rsidRPr="000D1929">
        <w:rPr>
          <w:rFonts w:ascii="Century Gothic" w:eastAsia="Times New Roman" w:hAnsi="Century Gothic" w:cs="Courier New"/>
          <w:lang w:val="fr-FR" w:eastAsia="fr-BE"/>
        </w:rPr>
        <w:t xml:space="preserve"> a</w:t>
      </w:r>
      <w:r w:rsidR="00643961" w:rsidRPr="000D1929">
        <w:rPr>
          <w:rFonts w:ascii="Century Gothic" w:eastAsia="Times New Roman" w:hAnsi="Century Gothic" w:cs="Courier New"/>
          <w:lang w:val="fr-FR" w:eastAsia="fr-BE"/>
        </w:rPr>
        <w:t>vait</w:t>
      </w:r>
      <w:r w:rsidRPr="000D1929">
        <w:rPr>
          <w:rFonts w:ascii="Century Gothic" w:eastAsia="Times New Roman" w:hAnsi="Century Gothic" w:cs="Courier New"/>
          <w:lang w:val="fr-FR" w:eastAsia="fr-BE"/>
        </w:rPr>
        <w:t xml:space="preserve"> été estimé à 71,5 milliards d'euros.</w:t>
      </w:r>
    </w:p>
    <w:p w:rsidR="00AA5EED" w:rsidRPr="000D1929" w:rsidRDefault="00AA5EED" w:rsidP="007B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 xml:space="preserve"> Le SET </w:t>
      </w:r>
      <w:r w:rsidR="00643961" w:rsidRPr="000D1929">
        <w:rPr>
          <w:rFonts w:ascii="Century Gothic" w:eastAsia="Times New Roman" w:hAnsi="Century Gothic" w:cs="Courier New"/>
          <w:lang w:val="fr-FR" w:eastAsia="fr-BE"/>
        </w:rPr>
        <w:t>Plan initial comportait</w:t>
      </w:r>
      <w:r w:rsidRPr="000D1929">
        <w:rPr>
          <w:rFonts w:ascii="Century Gothic" w:eastAsia="Times New Roman" w:hAnsi="Century Gothic" w:cs="Courier New"/>
          <w:lang w:val="fr-FR" w:eastAsia="fr-BE"/>
        </w:rPr>
        <w:t xml:space="preserve"> deux grands échéanciers</w:t>
      </w:r>
      <w:r w:rsidR="00643961" w:rsidRPr="000D1929">
        <w:rPr>
          <w:rFonts w:ascii="Century Gothic" w:eastAsia="Times New Roman" w:hAnsi="Century Gothic" w:cs="Courier New"/>
          <w:lang w:val="fr-FR" w:eastAsia="fr-BE"/>
        </w:rPr>
        <w:t> :</w:t>
      </w:r>
    </w:p>
    <w:p w:rsidR="008331E4" w:rsidRPr="000D1929" w:rsidRDefault="00AA5EED" w:rsidP="007B0343">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Pour 2020, le SET</w:t>
      </w:r>
      <w:r w:rsidR="00643961" w:rsidRPr="000D1929">
        <w:rPr>
          <w:rFonts w:ascii="Century Gothic" w:eastAsia="Times New Roman" w:hAnsi="Century Gothic" w:cs="Courier New"/>
          <w:lang w:val="fr-FR" w:eastAsia="fr-BE"/>
        </w:rPr>
        <w:t xml:space="preserve"> Plan devait fournir</w:t>
      </w:r>
      <w:r w:rsidRPr="000D1929">
        <w:rPr>
          <w:rFonts w:ascii="Century Gothic" w:eastAsia="Times New Roman" w:hAnsi="Century Gothic" w:cs="Courier New"/>
          <w:lang w:val="fr-FR" w:eastAsia="fr-BE"/>
        </w:rPr>
        <w:t xml:space="preserve"> un cadre pour accélérer le développement et le déploiement de technologies à faible intensité de carbone rentables. Avec de telles stratégies globales, l'UE </w:t>
      </w:r>
      <w:r w:rsidR="009F7F18" w:rsidRPr="000D1929">
        <w:rPr>
          <w:rFonts w:ascii="Century Gothic" w:eastAsia="Times New Roman" w:hAnsi="Century Gothic" w:cs="Courier New"/>
          <w:lang w:val="fr-FR" w:eastAsia="fr-BE"/>
        </w:rPr>
        <w:t>serait</w:t>
      </w:r>
      <w:r w:rsidRPr="000D1929">
        <w:rPr>
          <w:rFonts w:ascii="Century Gothic" w:eastAsia="Times New Roman" w:hAnsi="Century Gothic" w:cs="Courier New"/>
          <w:lang w:val="fr-FR" w:eastAsia="fr-BE"/>
        </w:rPr>
        <w:t xml:space="preserve"> en bonne voie pour atteindre ses objectifs 20-20-20 d'une réduction de 20% des émissions de CO2, </w:t>
      </w:r>
      <w:r w:rsidR="009F7F18" w:rsidRPr="000D1929">
        <w:rPr>
          <w:rFonts w:ascii="Century Gothic" w:eastAsia="Times New Roman" w:hAnsi="Century Gothic" w:cs="Courier New"/>
          <w:lang w:val="fr-FR" w:eastAsia="fr-BE"/>
        </w:rPr>
        <w:t xml:space="preserve">de </w:t>
      </w:r>
      <w:r w:rsidRPr="000D1929">
        <w:rPr>
          <w:rFonts w:ascii="Century Gothic" w:eastAsia="Times New Roman" w:hAnsi="Century Gothic" w:cs="Courier New"/>
          <w:lang w:val="fr-FR" w:eastAsia="fr-BE"/>
        </w:rPr>
        <w:t xml:space="preserve">20% de </w:t>
      </w:r>
      <w:r w:rsidR="009F7F18" w:rsidRPr="000D1929">
        <w:rPr>
          <w:rFonts w:ascii="Century Gothic" w:eastAsia="Times New Roman" w:hAnsi="Century Gothic" w:cs="Courier New"/>
          <w:lang w:val="fr-FR" w:eastAsia="fr-BE"/>
        </w:rPr>
        <w:t>production d</w:t>
      </w:r>
      <w:r w:rsidRPr="000D1929">
        <w:rPr>
          <w:rFonts w:ascii="Century Gothic" w:eastAsia="Times New Roman" w:hAnsi="Century Gothic" w:cs="Courier New"/>
          <w:lang w:val="fr-FR" w:eastAsia="fr-BE"/>
        </w:rPr>
        <w:t xml:space="preserve">'énergie issue de sources d'énergie à faible émission de carbone et </w:t>
      </w:r>
      <w:r w:rsidR="009F7F18" w:rsidRPr="000D1929">
        <w:rPr>
          <w:rFonts w:ascii="Century Gothic" w:eastAsia="Times New Roman" w:hAnsi="Century Gothic" w:cs="Courier New"/>
          <w:lang w:val="fr-FR" w:eastAsia="fr-BE"/>
        </w:rPr>
        <w:t xml:space="preserve">de </w:t>
      </w:r>
      <w:r w:rsidRPr="000D1929">
        <w:rPr>
          <w:rFonts w:ascii="Century Gothic" w:eastAsia="Times New Roman" w:hAnsi="Century Gothic" w:cs="Courier New"/>
          <w:lang w:val="fr-FR" w:eastAsia="fr-BE"/>
        </w:rPr>
        <w:t xml:space="preserve">20% </w:t>
      </w:r>
      <w:r w:rsidR="009F7F18" w:rsidRPr="000D1929">
        <w:rPr>
          <w:rFonts w:ascii="Century Gothic" w:eastAsia="Times New Roman" w:hAnsi="Century Gothic" w:cs="Courier New"/>
          <w:lang w:val="fr-FR" w:eastAsia="fr-BE"/>
        </w:rPr>
        <w:t>de réduction d</w:t>
      </w:r>
      <w:r w:rsidRPr="000D1929">
        <w:rPr>
          <w:rFonts w:ascii="Century Gothic" w:eastAsia="Times New Roman" w:hAnsi="Century Gothic" w:cs="Courier New"/>
          <w:lang w:val="fr-FR" w:eastAsia="fr-BE"/>
        </w:rPr>
        <w:t xml:space="preserve">'utilisation de l'énergie primaire </w:t>
      </w:r>
      <w:r w:rsidR="009F7F18" w:rsidRPr="000D1929">
        <w:rPr>
          <w:rFonts w:ascii="Century Gothic" w:eastAsia="Times New Roman" w:hAnsi="Century Gothic" w:cs="Courier New"/>
          <w:lang w:val="fr-FR" w:eastAsia="fr-BE"/>
        </w:rPr>
        <w:t>en</w:t>
      </w:r>
      <w:r w:rsidRPr="000D1929">
        <w:rPr>
          <w:rFonts w:ascii="Century Gothic" w:eastAsia="Times New Roman" w:hAnsi="Century Gothic" w:cs="Courier New"/>
          <w:lang w:val="fr-FR" w:eastAsia="fr-BE"/>
        </w:rPr>
        <w:t xml:space="preserve"> améliorant l'efficacité énergétique d'ici 2020.</w:t>
      </w:r>
    </w:p>
    <w:p w:rsidR="00AA5EED" w:rsidRPr="000D1929" w:rsidRDefault="00AA5EED" w:rsidP="007B0343">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lang w:val="fr-FR" w:eastAsia="fr-BE"/>
        </w:rPr>
      </w:pPr>
      <w:r w:rsidRPr="000D1929">
        <w:rPr>
          <w:rFonts w:ascii="Century Gothic" w:eastAsia="Times New Roman" w:hAnsi="Century Gothic" w:cs="Courier New"/>
          <w:lang w:val="fr-FR" w:eastAsia="fr-BE"/>
        </w:rPr>
        <w:t xml:space="preserve">Pour 2050, le SET </w:t>
      </w:r>
      <w:r w:rsidR="007B0343" w:rsidRPr="000D1929">
        <w:rPr>
          <w:rFonts w:ascii="Century Gothic" w:eastAsia="Times New Roman" w:hAnsi="Century Gothic" w:cs="Courier New"/>
          <w:lang w:val="fr-FR" w:eastAsia="fr-BE"/>
        </w:rPr>
        <w:t xml:space="preserve">Plan </w:t>
      </w:r>
      <w:r w:rsidRPr="000D1929">
        <w:rPr>
          <w:rFonts w:ascii="Century Gothic" w:eastAsia="Times New Roman" w:hAnsi="Century Gothic" w:cs="Courier New"/>
          <w:lang w:val="fr-FR" w:eastAsia="fr-BE"/>
        </w:rPr>
        <w:t>vis</w:t>
      </w:r>
      <w:r w:rsidR="007B0343" w:rsidRPr="000D1929">
        <w:rPr>
          <w:rFonts w:ascii="Century Gothic" w:eastAsia="Times New Roman" w:hAnsi="Century Gothic" w:cs="Courier New"/>
          <w:lang w:val="fr-FR" w:eastAsia="fr-BE"/>
        </w:rPr>
        <w:t>ait</w:t>
      </w:r>
      <w:r w:rsidRPr="000D1929">
        <w:rPr>
          <w:rFonts w:ascii="Century Gothic" w:eastAsia="Times New Roman" w:hAnsi="Century Gothic" w:cs="Courier New"/>
          <w:lang w:val="fr-FR" w:eastAsia="fr-BE"/>
        </w:rPr>
        <w:t xml:space="preserve"> à limiter le changement climatique à une élévation de la température mondiale </w:t>
      </w:r>
      <w:r w:rsidR="007B0343" w:rsidRPr="000D1929">
        <w:rPr>
          <w:rFonts w:ascii="Century Gothic" w:eastAsia="Times New Roman" w:hAnsi="Century Gothic" w:cs="Courier New"/>
          <w:lang w:val="fr-FR" w:eastAsia="fr-BE"/>
        </w:rPr>
        <w:t>de 2°</w:t>
      </w:r>
      <w:r w:rsidRPr="000D1929">
        <w:rPr>
          <w:rFonts w:ascii="Century Gothic" w:eastAsia="Times New Roman" w:hAnsi="Century Gothic" w:cs="Courier New"/>
          <w:lang w:val="fr-FR" w:eastAsia="fr-BE"/>
        </w:rPr>
        <w:t>C</w:t>
      </w:r>
      <w:r w:rsidR="007B0343" w:rsidRPr="000D1929">
        <w:rPr>
          <w:rFonts w:ascii="Century Gothic" w:eastAsia="Times New Roman" w:hAnsi="Century Gothic" w:cs="Courier New"/>
          <w:lang w:val="fr-FR" w:eastAsia="fr-BE"/>
        </w:rPr>
        <w:t xml:space="preserve"> maximum</w:t>
      </w:r>
      <w:r w:rsidRPr="000D1929">
        <w:rPr>
          <w:rFonts w:ascii="Century Gothic" w:eastAsia="Times New Roman" w:hAnsi="Century Gothic" w:cs="Courier New"/>
          <w:lang w:val="fr-FR" w:eastAsia="fr-BE"/>
        </w:rPr>
        <w:t xml:space="preserve">, </w:t>
      </w:r>
      <w:r w:rsidR="0021075F">
        <w:rPr>
          <w:rFonts w:ascii="Century Gothic" w:eastAsia="Times New Roman" w:hAnsi="Century Gothic" w:cs="Courier New"/>
          <w:lang w:val="fr-FR" w:eastAsia="fr-BE"/>
        </w:rPr>
        <w:t>en lien avec les objectifs de réduction des</w:t>
      </w:r>
      <w:r w:rsidRPr="000D1929">
        <w:rPr>
          <w:rFonts w:ascii="Century Gothic" w:eastAsia="Times New Roman" w:hAnsi="Century Gothic" w:cs="Courier New"/>
          <w:lang w:val="fr-FR" w:eastAsia="fr-BE"/>
        </w:rPr>
        <w:t xml:space="preserve"> émissions de gaz à effet de serre de 80 à 95%. L'objectif du SET </w:t>
      </w:r>
      <w:r w:rsidR="007B0343" w:rsidRPr="000D1929">
        <w:rPr>
          <w:rFonts w:ascii="Century Gothic" w:eastAsia="Times New Roman" w:hAnsi="Century Gothic" w:cs="Courier New"/>
          <w:lang w:val="fr-FR" w:eastAsia="fr-BE"/>
        </w:rPr>
        <w:t xml:space="preserve">Plan </w:t>
      </w:r>
      <w:r w:rsidRPr="000D1929">
        <w:rPr>
          <w:rFonts w:ascii="Century Gothic" w:eastAsia="Times New Roman" w:hAnsi="Century Gothic" w:cs="Courier New"/>
          <w:lang w:val="fr-FR" w:eastAsia="fr-BE"/>
        </w:rPr>
        <w:t xml:space="preserve">à cet égard </w:t>
      </w:r>
      <w:r w:rsidR="0021075F">
        <w:rPr>
          <w:rFonts w:ascii="Century Gothic" w:eastAsia="Times New Roman" w:hAnsi="Century Gothic" w:cs="Courier New"/>
          <w:lang w:val="fr-FR" w:eastAsia="fr-BE"/>
        </w:rPr>
        <w:t xml:space="preserve">avait pour ambition de </w:t>
      </w:r>
      <w:r w:rsidRPr="000D1929">
        <w:rPr>
          <w:rFonts w:ascii="Century Gothic" w:eastAsia="Times New Roman" w:hAnsi="Century Gothic" w:cs="Courier New"/>
          <w:lang w:val="fr-FR" w:eastAsia="fr-BE"/>
        </w:rPr>
        <w:t xml:space="preserve">réduire davantage le coût de l'énergie à faibles émissions de carbone et de placer l'industrie </w:t>
      </w:r>
      <w:r w:rsidRPr="000D1929">
        <w:rPr>
          <w:rFonts w:ascii="Century Gothic" w:eastAsia="Times New Roman" w:hAnsi="Century Gothic" w:cs="Courier New"/>
          <w:lang w:val="fr-FR" w:eastAsia="fr-BE"/>
        </w:rPr>
        <w:lastRenderedPageBreak/>
        <w:t>énergétique de l'UE au premier plan du secteur des technologies énergétiques à faible teneur en carbone</w:t>
      </w:r>
      <w:r w:rsidR="007B0343" w:rsidRPr="000D1929">
        <w:rPr>
          <w:rFonts w:ascii="Century Gothic" w:eastAsia="Times New Roman" w:hAnsi="Century Gothic" w:cs="Courier New"/>
          <w:lang w:val="fr-FR" w:eastAsia="fr-BE"/>
        </w:rPr>
        <w:t xml:space="preserve"> </w:t>
      </w:r>
      <w:r w:rsidR="0021075F">
        <w:rPr>
          <w:rFonts w:ascii="Century Gothic" w:eastAsia="Times New Roman" w:hAnsi="Century Gothic" w:cs="Courier New"/>
          <w:lang w:val="fr-FR" w:eastAsia="fr-BE"/>
        </w:rPr>
        <w:t>avec une</w:t>
      </w:r>
      <w:r w:rsidRPr="000D1929">
        <w:rPr>
          <w:rFonts w:ascii="Century Gothic" w:eastAsia="Times New Roman" w:hAnsi="Century Gothic" w:cs="Courier New"/>
          <w:lang w:val="fr-FR" w:eastAsia="fr-BE"/>
        </w:rPr>
        <w:t xml:space="preserve"> croissance rapide.</w:t>
      </w:r>
    </w:p>
    <w:p w:rsidR="00AA5EED" w:rsidRPr="000D1929" w:rsidRDefault="00AA5EED">
      <w:pPr>
        <w:rPr>
          <w:rFonts w:ascii="Century Gothic" w:hAnsi="Century Gothic"/>
        </w:rPr>
      </w:pPr>
    </w:p>
    <w:p w:rsidR="00871651" w:rsidRPr="000D1929" w:rsidRDefault="007B0343" w:rsidP="00AA5EED">
      <w:pPr>
        <w:jc w:val="both"/>
        <w:rPr>
          <w:rFonts w:ascii="Century Gothic" w:hAnsi="Century Gothic" w:cs="Arial"/>
        </w:rPr>
      </w:pPr>
      <w:r w:rsidRPr="000D1929">
        <w:rPr>
          <w:rFonts w:ascii="Century Gothic" w:hAnsi="Century Gothic" w:cs="Arial"/>
          <w:lang w:eastAsia="fr-BE"/>
        </w:rPr>
        <w:t>En 2015, la Commission a redéfini les</w:t>
      </w:r>
      <w:r w:rsidR="00871651" w:rsidRPr="000D1929">
        <w:rPr>
          <w:rFonts w:ascii="Century Gothic" w:hAnsi="Century Gothic" w:cs="Arial"/>
          <w:lang w:eastAsia="fr-BE"/>
        </w:rPr>
        <w:t xml:space="preserve"> objectifs du SET</w:t>
      </w:r>
      <w:r w:rsidRPr="000D1929">
        <w:rPr>
          <w:rFonts w:ascii="Century Gothic" w:hAnsi="Century Gothic" w:cs="Arial"/>
          <w:lang w:eastAsia="fr-BE"/>
        </w:rPr>
        <w:t xml:space="preserve"> </w:t>
      </w:r>
      <w:r w:rsidR="00871651" w:rsidRPr="000D1929">
        <w:rPr>
          <w:rFonts w:ascii="Century Gothic" w:hAnsi="Century Gothic" w:cs="Arial"/>
          <w:lang w:eastAsia="fr-BE"/>
        </w:rPr>
        <w:t>P</w:t>
      </w:r>
      <w:r w:rsidRPr="000D1929">
        <w:rPr>
          <w:rFonts w:ascii="Century Gothic" w:hAnsi="Century Gothic" w:cs="Arial"/>
          <w:lang w:eastAsia="fr-BE"/>
        </w:rPr>
        <w:t>lan</w:t>
      </w:r>
      <w:r w:rsidR="00871651" w:rsidRPr="000D1929">
        <w:rPr>
          <w:rFonts w:ascii="Century Gothic" w:hAnsi="Century Gothic" w:cs="Arial"/>
          <w:lang w:eastAsia="fr-BE"/>
        </w:rPr>
        <w:t xml:space="preserve"> </w:t>
      </w:r>
      <w:r w:rsidRPr="000D1929">
        <w:rPr>
          <w:rFonts w:ascii="Century Gothic" w:hAnsi="Century Gothic" w:cs="Arial"/>
          <w:lang w:eastAsia="fr-BE"/>
        </w:rPr>
        <w:t>et a procédé à sa réorganisation afin</w:t>
      </w:r>
      <w:r w:rsidR="00871651" w:rsidRPr="000D1929">
        <w:rPr>
          <w:rFonts w:ascii="Century Gothic" w:hAnsi="Century Gothic" w:cs="Arial"/>
          <w:lang w:eastAsia="fr-BE"/>
        </w:rPr>
        <w:t xml:space="preserve"> </w:t>
      </w:r>
      <w:r w:rsidR="0021075F">
        <w:rPr>
          <w:rFonts w:ascii="Century Gothic" w:hAnsi="Century Gothic" w:cs="Arial"/>
          <w:lang w:eastAsia="fr-BE"/>
        </w:rPr>
        <w:t xml:space="preserve">de </w:t>
      </w:r>
      <w:r w:rsidR="00871651" w:rsidRPr="000D1929">
        <w:rPr>
          <w:rFonts w:ascii="Century Gothic" w:hAnsi="Century Gothic" w:cs="Arial"/>
          <w:lang w:eastAsia="fr-BE"/>
        </w:rPr>
        <w:t>répondre aux nouveaux défis technologiques nés de l’</w:t>
      </w:r>
      <w:r w:rsidR="0021075F">
        <w:rPr>
          <w:rFonts w:ascii="Century Gothic" w:hAnsi="Century Gothic" w:cs="Arial"/>
          <w:lang w:eastAsia="fr-BE"/>
        </w:rPr>
        <w:t>Union de l’Energie</w:t>
      </w:r>
      <w:r w:rsidRPr="000D1929">
        <w:rPr>
          <w:rFonts w:ascii="Century Gothic" w:hAnsi="Century Gothic" w:cs="Arial"/>
          <w:lang w:eastAsia="fr-BE"/>
        </w:rPr>
        <w:t xml:space="preserve"> présentée par la Commission dont il est </w:t>
      </w:r>
      <w:r w:rsidR="00871651" w:rsidRPr="000D1929">
        <w:rPr>
          <w:rFonts w:ascii="Century Gothic" w:hAnsi="Century Gothic" w:cs="Arial"/>
          <w:lang w:eastAsia="fr-BE"/>
        </w:rPr>
        <w:t>le cinquième pilier (R&amp;I, compétitivité).</w:t>
      </w:r>
      <w:r w:rsidR="00871651" w:rsidRPr="000D1929">
        <w:rPr>
          <w:rFonts w:ascii="Century Gothic" w:hAnsi="Century Gothic" w:cs="Arial"/>
        </w:rPr>
        <w:t xml:space="preserve"> </w:t>
      </w:r>
    </w:p>
    <w:p w:rsidR="00871651" w:rsidRPr="000D1929" w:rsidRDefault="00871651" w:rsidP="00AA5EED">
      <w:pPr>
        <w:jc w:val="both"/>
        <w:rPr>
          <w:rFonts w:ascii="Century Gothic" w:hAnsi="Century Gothic" w:cs="Arial"/>
        </w:rPr>
      </w:pPr>
      <w:r w:rsidRPr="000D1929">
        <w:rPr>
          <w:rFonts w:ascii="Century Gothic" w:hAnsi="Century Gothic" w:cs="Arial"/>
        </w:rPr>
        <w:t>L’idée de la Commission, dans la refonte de la structure du SET</w:t>
      </w:r>
      <w:r w:rsidR="007B0343" w:rsidRPr="000D1929">
        <w:rPr>
          <w:rFonts w:ascii="Century Gothic" w:hAnsi="Century Gothic" w:cs="Arial"/>
        </w:rPr>
        <w:t xml:space="preserve"> Plan</w:t>
      </w:r>
      <w:r w:rsidRPr="000D1929">
        <w:rPr>
          <w:rFonts w:ascii="Century Gothic" w:hAnsi="Century Gothic" w:cs="Arial"/>
        </w:rPr>
        <w:t xml:space="preserve">, est de garder ce qui </w:t>
      </w:r>
      <w:r w:rsidR="007B0343" w:rsidRPr="000D1929">
        <w:rPr>
          <w:rFonts w:ascii="Century Gothic" w:hAnsi="Century Gothic" w:cs="Arial"/>
        </w:rPr>
        <w:t>« </w:t>
      </w:r>
      <w:r w:rsidRPr="000D1929">
        <w:rPr>
          <w:rFonts w:ascii="Century Gothic" w:hAnsi="Century Gothic" w:cs="Arial"/>
        </w:rPr>
        <w:t>fonctionne bien</w:t>
      </w:r>
      <w:r w:rsidR="007B0343" w:rsidRPr="000D1929">
        <w:rPr>
          <w:rFonts w:ascii="Century Gothic" w:hAnsi="Century Gothic" w:cs="Arial"/>
        </w:rPr>
        <w:t> »</w:t>
      </w:r>
      <w:r w:rsidRPr="000D1929">
        <w:rPr>
          <w:rFonts w:ascii="Century Gothic" w:hAnsi="Century Gothic" w:cs="Arial"/>
        </w:rPr>
        <w:t xml:space="preserve"> dans la structure </w:t>
      </w:r>
      <w:r w:rsidR="007B0343" w:rsidRPr="000D1929">
        <w:rPr>
          <w:rFonts w:ascii="Century Gothic" w:hAnsi="Century Gothic" w:cs="Arial"/>
        </w:rPr>
        <w:t>première</w:t>
      </w:r>
      <w:r w:rsidRPr="000D1929">
        <w:rPr>
          <w:rFonts w:ascii="Century Gothic" w:hAnsi="Century Gothic" w:cs="Arial"/>
        </w:rPr>
        <w:t xml:space="preserve"> (par ex: les efforts coopératifs…) et d’ajuster le reste (essentiellement au niveau de la Gouvernance) pour plus d’efficacité. Cette refonte a pour buts essentiels :</w:t>
      </w:r>
    </w:p>
    <w:p w:rsidR="00871651" w:rsidRPr="000D1929" w:rsidRDefault="00871651" w:rsidP="00AA5EED">
      <w:pPr>
        <w:pStyle w:val="Paragraphedeliste"/>
        <w:numPr>
          <w:ilvl w:val="0"/>
          <w:numId w:val="6"/>
        </w:numPr>
        <w:jc w:val="both"/>
        <w:rPr>
          <w:rFonts w:ascii="Century Gothic" w:hAnsi="Century Gothic" w:cs="Arial"/>
          <w:lang w:val="fr-BE"/>
        </w:rPr>
      </w:pPr>
      <w:r w:rsidRPr="000D1929">
        <w:rPr>
          <w:rFonts w:ascii="Century Gothic" w:hAnsi="Century Gothic" w:cs="Arial"/>
          <w:lang w:val="fr-BE"/>
        </w:rPr>
        <w:t>D’améliorer les interactions entre les différentes équipes de recherche sur le territoire européen ;</w:t>
      </w:r>
    </w:p>
    <w:p w:rsidR="00871651" w:rsidRPr="000D1929" w:rsidRDefault="00871651" w:rsidP="00AA5EED">
      <w:pPr>
        <w:pStyle w:val="Paragraphedeliste"/>
        <w:numPr>
          <w:ilvl w:val="0"/>
          <w:numId w:val="6"/>
        </w:numPr>
        <w:jc w:val="both"/>
        <w:rPr>
          <w:rFonts w:ascii="Century Gothic" w:hAnsi="Century Gothic" w:cs="Arial"/>
          <w:lang w:val="fr-BE"/>
        </w:rPr>
      </w:pPr>
      <w:r w:rsidRPr="000D1929">
        <w:rPr>
          <w:rFonts w:ascii="Century Gothic" w:hAnsi="Century Gothic" w:cs="Arial"/>
          <w:lang w:val="fr-BE"/>
        </w:rPr>
        <w:t>D’améliorer les interactions entre les équipes de recherche et les réseaux organisés par les différentes parties prenantes ;</w:t>
      </w:r>
    </w:p>
    <w:p w:rsidR="00871651" w:rsidRPr="000D1929" w:rsidRDefault="00871651" w:rsidP="00AA5EED">
      <w:pPr>
        <w:pStyle w:val="Paragraphedeliste"/>
        <w:numPr>
          <w:ilvl w:val="0"/>
          <w:numId w:val="6"/>
        </w:numPr>
        <w:jc w:val="both"/>
        <w:rPr>
          <w:rFonts w:ascii="Century Gothic" w:hAnsi="Century Gothic" w:cs="Arial"/>
          <w:lang w:val="fr-BE"/>
        </w:rPr>
      </w:pPr>
      <w:r w:rsidRPr="000D1929">
        <w:rPr>
          <w:rFonts w:ascii="Century Gothic" w:hAnsi="Century Gothic" w:cs="Arial"/>
          <w:lang w:val="fr-BE"/>
        </w:rPr>
        <w:t>D’améliorer l’inclusion des parties prenantes sans oublier le consommateur;</w:t>
      </w:r>
    </w:p>
    <w:p w:rsidR="00871651" w:rsidRPr="000D1929" w:rsidRDefault="00871651" w:rsidP="00AA5EED">
      <w:pPr>
        <w:pStyle w:val="Paragraphedeliste"/>
        <w:numPr>
          <w:ilvl w:val="0"/>
          <w:numId w:val="6"/>
        </w:numPr>
        <w:ind w:hanging="357"/>
        <w:jc w:val="both"/>
        <w:rPr>
          <w:rFonts w:ascii="Century Gothic" w:hAnsi="Century Gothic" w:cs="Arial"/>
          <w:lang w:val="fr-BE"/>
        </w:rPr>
      </w:pPr>
      <w:r w:rsidRPr="000D1929">
        <w:rPr>
          <w:rFonts w:ascii="Century Gothic" w:hAnsi="Century Gothic" w:cs="Arial"/>
          <w:lang w:val="fr-BE"/>
        </w:rPr>
        <w:t>De mettre l’accent sur le volet économique (accès au marché);</w:t>
      </w:r>
    </w:p>
    <w:p w:rsidR="00871651" w:rsidRPr="000D1929" w:rsidRDefault="00871651" w:rsidP="00AA5EED">
      <w:pPr>
        <w:pStyle w:val="Paragraphedeliste"/>
        <w:numPr>
          <w:ilvl w:val="0"/>
          <w:numId w:val="6"/>
        </w:numPr>
        <w:ind w:hanging="357"/>
        <w:jc w:val="both"/>
        <w:rPr>
          <w:rFonts w:ascii="Century Gothic" w:hAnsi="Century Gothic" w:cs="Arial"/>
          <w:lang w:val="fr-BE"/>
        </w:rPr>
      </w:pPr>
      <w:r w:rsidRPr="000D1929">
        <w:rPr>
          <w:rFonts w:ascii="Century Gothic" w:hAnsi="Century Gothic" w:cs="Arial"/>
          <w:lang w:val="fr-BE"/>
        </w:rPr>
        <w:t>Se focaliser sur des priorités claires en chiffrant les objectifs à atteindre dans les technologies.</w:t>
      </w:r>
    </w:p>
    <w:p w:rsidR="00871651" w:rsidRPr="000D1929" w:rsidRDefault="00871651" w:rsidP="00AA5EED">
      <w:pPr>
        <w:jc w:val="both"/>
        <w:rPr>
          <w:rFonts w:ascii="Century Gothic" w:hAnsi="Century Gothic" w:cs="Arial"/>
        </w:rPr>
      </w:pPr>
      <w:r w:rsidRPr="000D1929">
        <w:rPr>
          <w:rFonts w:ascii="Century Gothic" w:hAnsi="Century Gothic" w:cs="Arial"/>
        </w:rPr>
        <w:t>A cet effet, les domaines d’intervention du SET</w:t>
      </w:r>
      <w:r w:rsidR="007B0343" w:rsidRPr="000D1929">
        <w:rPr>
          <w:rFonts w:ascii="Century Gothic" w:hAnsi="Century Gothic" w:cs="Arial"/>
        </w:rPr>
        <w:t xml:space="preserve"> Plan</w:t>
      </w:r>
      <w:r w:rsidRPr="000D1929">
        <w:rPr>
          <w:rFonts w:ascii="Century Gothic" w:hAnsi="Century Gothic" w:cs="Arial"/>
        </w:rPr>
        <w:t xml:space="preserve"> ont été redéfinis. Le nouveau SET</w:t>
      </w:r>
      <w:r w:rsidR="007B0343" w:rsidRPr="000D1929">
        <w:rPr>
          <w:rFonts w:ascii="Century Gothic" w:hAnsi="Century Gothic" w:cs="Arial"/>
        </w:rPr>
        <w:t xml:space="preserve"> Plan</w:t>
      </w:r>
      <w:r w:rsidRPr="000D1929">
        <w:rPr>
          <w:rFonts w:ascii="Century Gothic" w:hAnsi="Century Gothic" w:cs="Arial"/>
        </w:rPr>
        <w:t xml:space="preserve"> propose une approche</w:t>
      </w:r>
      <w:r w:rsidR="0021075F">
        <w:rPr>
          <w:rFonts w:ascii="Century Gothic" w:hAnsi="Century Gothic" w:cs="Arial"/>
        </w:rPr>
        <w:t xml:space="preserve"> plus </w:t>
      </w:r>
      <w:r w:rsidRPr="000D1929">
        <w:rPr>
          <w:rFonts w:ascii="Century Gothic" w:hAnsi="Century Gothic" w:cs="Arial"/>
        </w:rPr>
        <w:t xml:space="preserve">transversale des systèmes énergétiques et intègre six domaines d’interventions en fonction de leur finalité (fig. 1). </w:t>
      </w:r>
    </w:p>
    <w:p w:rsidR="00871651" w:rsidRPr="000D1929" w:rsidRDefault="00871651" w:rsidP="00AA5EED">
      <w:pPr>
        <w:jc w:val="both"/>
        <w:rPr>
          <w:rFonts w:ascii="Century Gothic" w:hAnsi="Century Gothic" w:cs="Arial"/>
        </w:rPr>
      </w:pPr>
      <w:r w:rsidRPr="000D1929">
        <w:rPr>
          <w:rFonts w:ascii="Century Gothic" w:hAnsi="Century Gothic" w:cs="Arial"/>
          <w:noProof/>
          <w:lang w:eastAsia="fr-BE"/>
        </w:rPr>
        <w:lastRenderedPageBreak/>
        <w:drawing>
          <wp:inline distT="0" distB="0" distL="0" distR="0">
            <wp:extent cx="5762625" cy="40005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5762625" cy="4000500"/>
                    </a:xfrm>
                    <a:prstGeom prst="rect">
                      <a:avLst/>
                    </a:prstGeom>
                    <a:noFill/>
                    <a:ln w="9525">
                      <a:noFill/>
                      <a:miter lim="800000"/>
                      <a:headEnd/>
                      <a:tailEnd/>
                    </a:ln>
                  </pic:spPr>
                </pic:pic>
              </a:graphicData>
            </a:graphic>
          </wp:inline>
        </w:drawing>
      </w:r>
    </w:p>
    <w:p w:rsidR="00871651" w:rsidRPr="000D1929" w:rsidRDefault="00871651" w:rsidP="00AA5EED">
      <w:pPr>
        <w:jc w:val="both"/>
        <w:rPr>
          <w:rFonts w:ascii="Century Gothic" w:hAnsi="Century Gothic" w:cs="Arial"/>
        </w:rPr>
      </w:pPr>
      <w:r w:rsidRPr="000D1929">
        <w:rPr>
          <w:rFonts w:ascii="Century Gothic" w:hAnsi="Century Gothic" w:cs="Arial"/>
        </w:rPr>
        <w:t xml:space="preserve">Ainsi, à la </w:t>
      </w:r>
      <w:r w:rsidRPr="000D1929">
        <w:rPr>
          <w:rFonts w:ascii="Century Gothic" w:hAnsi="Century Gothic" w:cs="Arial"/>
          <w:b/>
        </w:rPr>
        <w:t>production énergétique renouvelable</w:t>
      </w:r>
      <w:r w:rsidRPr="000D1929">
        <w:rPr>
          <w:rFonts w:ascii="Century Gothic" w:hAnsi="Century Gothic" w:cs="Arial"/>
        </w:rPr>
        <w:t>, au CCS</w:t>
      </w:r>
      <w:r w:rsidR="0021075F">
        <w:rPr>
          <w:rStyle w:val="Appelnotedebasdep"/>
          <w:rFonts w:ascii="Century Gothic" w:hAnsi="Century Gothic" w:cs="Arial"/>
        </w:rPr>
        <w:footnoteReference w:id="1"/>
      </w:r>
      <w:r w:rsidRPr="000D1929">
        <w:rPr>
          <w:rFonts w:ascii="Century Gothic" w:hAnsi="Century Gothic" w:cs="Arial"/>
        </w:rPr>
        <w:t xml:space="preserve"> et au</w:t>
      </w:r>
      <w:r w:rsidRPr="000D1929">
        <w:rPr>
          <w:rFonts w:ascii="Century Gothic" w:hAnsi="Century Gothic" w:cs="Arial"/>
          <w:b/>
        </w:rPr>
        <w:t xml:space="preserve"> nucléaire</w:t>
      </w:r>
      <w:r w:rsidRPr="000D1929">
        <w:rPr>
          <w:rFonts w:ascii="Century Gothic" w:hAnsi="Century Gothic" w:cs="Arial"/>
        </w:rPr>
        <w:t xml:space="preserve"> qui préexistaient ont été ajoutés les </w:t>
      </w:r>
      <w:r w:rsidRPr="000D1929">
        <w:rPr>
          <w:rFonts w:ascii="Century Gothic" w:hAnsi="Century Gothic" w:cs="Arial"/>
          <w:b/>
        </w:rPr>
        <w:t>systèmes intelligents pour les consommateurs, l’efficacité énergétique et l’énergie dans le transport.</w:t>
      </w:r>
      <w:r w:rsidRPr="000D1929">
        <w:rPr>
          <w:rFonts w:ascii="Century Gothic" w:hAnsi="Century Gothic" w:cs="Arial"/>
        </w:rPr>
        <w:t xml:space="preserve"> Ces six thématiques-clé, rassembleront</w:t>
      </w:r>
      <w:r w:rsidR="007B0343" w:rsidRPr="000D1929">
        <w:rPr>
          <w:rFonts w:ascii="Century Gothic" w:hAnsi="Century Gothic" w:cs="Arial"/>
        </w:rPr>
        <w:t>, une fois le processus de mutation terminé,</w:t>
      </w:r>
      <w:r w:rsidRPr="000D1929">
        <w:rPr>
          <w:rFonts w:ascii="Century Gothic" w:hAnsi="Century Gothic" w:cs="Arial"/>
        </w:rPr>
        <w:t xml:space="preserve"> outre les partenaires institutionnels (en ce compris la Commission et les Etats-Membres via le </w:t>
      </w:r>
      <w:proofErr w:type="spellStart"/>
      <w:r w:rsidRPr="000D1929">
        <w:rPr>
          <w:rFonts w:ascii="Century Gothic" w:hAnsi="Century Gothic" w:cs="Arial"/>
        </w:rPr>
        <w:t>Steering</w:t>
      </w:r>
      <w:proofErr w:type="spellEnd"/>
      <w:r w:rsidRPr="000D1929">
        <w:rPr>
          <w:rFonts w:ascii="Century Gothic" w:hAnsi="Century Gothic" w:cs="Arial"/>
        </w:rPr>
        <w:t xml:space="preserve"> group), les </w:t>
      </w:r>
      <w:proofErr w:type="spellStart"/>
      <w:r w:rsidRPr="000D1929">
        <w:rPr>
          <w:rFonts w:ascii="Century Gothic" w:hAnsi="Century Gothic" w:cs="Arial"/>
        </w:rPr>
        <w:t>ETIPs</w:t>
      </w:r>
      <w:proofErr w:type="spellEnd"/>
      <w:r w:rsidRPr="000D1929">
        <w:rPr>
          <w:rFonts w:ascii="Century Gothic" w:hAnsi="Century Gothic" w:cs="Arial"/>
        </w:rPr>
        <w:t xml:space="preserve"> (</w:t>
      </w:r>
      <w:proofErr w:type="spellStart"/>
      <w:r w:rsidRPr="000D1929">
        <w:rPr>
          <w:rFonts w:ascii="Century Gothic" w:hAnsi="Century Gothic" w:cs="Arial"/>
        </w:rPr>
        <w:t>European</w:t>
      </w:r>
      <w:proofErr w:type="spellEnd"/>
      <w:r w:rsidRPr="000D1929">
        <w:rPr>
          <w:rFonts w:ascii="Century Gothic" w:hAnsi="Century Gothic" w:cs="Arial"/>
        </w:rPr>
        <w:t xml:space="preserve"> </w:t>
      </w:r>
      <w:proofErr w:type="spellStart"/>
      <w:r w:rsidRPr="000D1929">
        <w:rPr>
          <w:rFonts w:ascii="Century Gothic" w:hAnsi="Century Gothic" w:cs="Arial"/>
        </w:rPr>
        <w:t>Technology</w:t>
      </w:r>
      <w:proofErr w:type="spellEnd"/>
      <w:r w:rsidRPr="000D1929">
        <w:rPr>
          <w:rFonts w:ascii="Century Gothic" w:hAnsi="Century Gothic" w:cs="Arial"/>
        </w:rPr>
        <w:t xml:space="preserve"> and Innovation Platform) issus de la fusion des anciennes plateformes technologiques (ETP) et des initiatives industrielles (EII) ainsi que les représentants des différ</w:t>
      </w:r>
      <w:r w:rsidR="00342F71" w:rsidRPr="000D1929">
        <w:rPr>
          <w:rFonts w:ascii="Century Gothic" w:hAnsi="Century Gothic" w:cs="Arial"/>
        </w:rPr>
        <w:t>entes parties prenantes</w:t>
      </w:r>
      <w:r w:rsidRPr="000D1929">
        <w:rPr>
          <w:rFonts w:ascii="Century Gothic" w:hAnsi="Century Gothic" w:cs="Arial"/>
        </w:rPr>
        <w:t xml:space="preserve">. </w:t>
      </w:r>
    </w:p>
    <w:p w:rsidR="00871651" w:rsidRPr="000D1929" w:rsidRDefault="00871651" w:rsidP="00AA5EED">
      <w:pPr>
        <w:jc w:val="both"/>
        <w:rPr>
          <w:rFonts w:ascii="Century Gothic" w:hAnsi="Century Gothic" w:cs="Arial"/>
        </w:rPr>
      </w:pPr>
      <w:r w:rsidRPr="000D1929">
        <w:rPr>
          <w:rFonts w:ascii="Century Gothic" w:hAnsi="Century Gothic" w:cs="Arial"/>
        </w:rPr>
        <w:t xml:space="preserve">Parallèlement, la Commission a établi une liste de </w:t>
      </w:r>
      <w:r w:rsidRPr="000D1929">
        <w:rPr>
          <w:rFonts w:ascii="Century Gothic" w:hAnsi="Century Gothic" w:cs="Arial"/>
          <w:b/>
        </w:rPr>
        <w:t>10 actions-clé</w:t>
      </w:r>
      <w:r w:rsidRPr="000D1929">
        <w:rPr>
          <w:rFonts w:ascii="Century Gothic" w:hAnsi="Century Gothic" w:cs="Arial"/>
        </w:rPr>
        <w:t xml:space="preserve"> </w:t>
      </w:r>
      <w:r w:rsidR="00342F71" w:rsidRPr="000D1929">
        <w:rPr>
          <w:rFonts w:ascii="Century Gothic" w:hAnsi="Century Gothic" w:cs="Arial"/>
        </w:rPr>
        <w:t xml:space="preserve">primordiales pour le secteur de la recherche et l’innovation </w:t>
      </w:r>
      <w:r w:rsidRPr="000D1929">
        <w:rPr>
          <w:rFonts w:ascii="Century Gothic" w:hAnsi="Century Gothic" w:cs="Arial"/>
        </w:rPr>
        <w:t>qui s’établissent comme suit :</w:t>
      </w:r>
    </w:p>
    <w:p w:rsidR="00871651" w:rsidRPr="000D1929" w:rsidRDefault="00871651" w:rsidP="00AA5EED">
      <w:pPr>
        <w:pStyle w:val="Paragraphedeliste"/>
        <w:numPr>
          <w:ilvl w:val="0"/>
          <w:numId w:val="8"/>
        </w:numPr>
        <w:jc w:val="both"/>
        <w:rPr>
          <w:rFonts w:ascii="Century Gothic" w:hAnsi="Century Gothic" w:cs="Arial"/>
          <w:lang w:val="fr-FR"/>
        </w:rPr>
      </w:pPr>
      <w:r w:rsidRPr="000D1929">
        <w:rPr>
          <w:rFonts w:ascii="Century Gothic" w:hAnsi="Century Gothic" w:cs="Arial"/>
          <w:lang w:val="fr-FR"/>
        </w:rPr>
        <w:t>Soutenir le leadership technologique en développant des technologies renouvelables hautement performantes et leur intégration dans le système énergétique de l'UE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Réduire le coût des technologies clés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Créez technologies et services pour les maisons intelligentes qui fournissent des solutions intelligentes pour les consommateurs d'énergie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 xml:space="preserve">Augmenter la résilience, la sécurité et l’intelligence du système énergétique au niveau de l'ingénierie (le rôle des TIC, </w:t>
      </w:r>
      <w:proofErr w:type="spellStart"/>
      <w:r w:rsidRPr="000D1929">
        <w:rPr>
          <w:rFonts w:ascii="Century Gothic" w:hAnsi="Century Gothic" w:cs="Arial"/>
          <w:lang w:val="fr-FR"/>
        </w:rPr>
        <w:t>big</w:t>
      </w:r>
      <w:proofErr w:type="spellEnd"/>
      <w:r w:rsidRPr="000D1929">
        <w:rPr>
          <w:rFonts w:ascii="Century Gothic" w:hAnsi="Century Gothic" w:cs="Arial"/>
          <w:lang w:val="fr-FR"/>
        </w:rPr>
        <w:t xml:space="preserve"> data, Internet des choses...)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Développer de nouveaux matériaux et technologies et leur mise sur le marché pour des  solutions en efficacité énergétique dans les bâtiments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lastRenderedPageBreak/>
        <w:t>Poursuivre les efforts pour rendre l'industrie de l'UE moins énergivore et plus compétitive (lien avec l’initiative SPIRE)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Devenir concurrentiel dans le secteur des batteries et pousser en avant l'e-mobilité ;</w:t>
      </w:r>
    </w:p>
    <w:p w:rsidR="00871651" w:rsidRPr="000D1929" w:rsidRDefault="00871651" w:rsidP="00AA5EED">
      <w:pPr>
        <w:pStyle w:val="Paragraphedeliste"/>
        <w:numPr>
          <w:ilvl w:val="0"/>
          <w:numId w:val="8"/>
        </w:numPr>
        <w:jc w:val="both"/>
        <w:rPr>
          <w:rFonts w:ascii="Century Gothic" w:hAnsi="Century Gothic" w:cs="Arial"/>
          <w:lang w:val="fr-BE"/>
        </w:rPr>
      </w:pPr>
      <w:r w:rsidRPr="000D1929">
        <w:rPr>
          <w:rFonts w:ascii="Century Gothic" w:hAnsi="Century Gothic" w:cs="Arial"/>
          <w:lang w:val="fr-FR"/>
        </w:rPr>
        <w:t xml:space="preserve">Renforcer la mise sur le marché de carburants renouvelables nécessaires pour les solutions de transport durables (interaction avec le PPP sur l’économie </w:t>
      </w:r>
      <w:proofErr w:type="spellStart"/>
      <w:r w:rsidRPr="000D1929">
        <w:rPr>
          <w:rFonts w:ascii="Century Gothic" w:hAnsi="Century Gothic" w:cs="Arial"/>
          <w:lang w:val="fr-FR"/>
        </w:rPr>
        <w:t>biobasée</w:t>
      </w:r>
      <w:proofErr w:type="spellEnd"/>
      <w:r w:rsidRPr="000D1929">
        <w:rPr>
          <w:rFonts w:ascii="Century Gothic" w:hAnsi="Century Gothic" w:cs="Arial"/>
          <w:lang w:val="fr-FR"/>
        </w:rPr>
        <w:t xml:space="preserve"> et l’entreprise conjointe « Clean </w:t>
      </w:r>
      <w:proofErr w:type="spellStart"/>
      <w:r w:rsidRPr="000D1929">
        <w:rPr>
          <w:rFonts w:ascii="Century Gothic" w:hAnsi="Century Gothic" w:cs="Arial"/>
          <w:lang w:val="fr-FR"/>
        </w:rPr>
        <w:t>Sky</w:t>
      </w:r>
      <w:proofErr w:type="spellEnd"/>
      <w:r w:rsidRPr="000D1929">
        <w:rPr>
          <w:rFonts w:ascii="Century Gothic" w:hAnsi="Century Gothic" w:cs="Arial"/>
          <w:lang w:val="fr-FR"/>
        </w:rPr>
        <w:t> ») ;</w:t>
      </w:r>
    </w:p>
    <w:p w:rsidR="00871651" w:rsidRPr="000D1929" w:rsidRDefault="00871651" w:rsidP="00AA5EED">
      <w:pPr>
        <w:pStyle w:val="Paragraphedeliste"/>
        <w:numPr>
          <w:ilvl w:val="0"/>
          <w:numId w:val="8"/>
        </w:numPr>
        <w:jc w:val="both"/>
        <w:rPr>
          <w:rFonts w:ascii="Century Gothic" w:hAnsi="Century Gothic" w:cs="Arial"/>
          <w:lang w:val="fr-BE"/>
        </w:rPr>
      </w:pPr>
      <w:proofErr w:type="spellStart"/>
      <w:r w:rsidRPr="000D1929">
        <w:rPr>
          <w:rFonts w:ascii="Century Gothic" w:hAnsi="Century Gothic" w:cs="Arial"/>
          <w:lang w:val="fr-FR"/>
        </w:rPr>
        <w:t>Step</w:t>
      </w:r>
      <w:proofErr w:type="spellEnd"/>
      <w:r w:rsidRPr="000D1929">
        <w:rPr>
          <w:rFonts w:ascii="Century Gothic" w:hAnsi="Century Gothic" w:cs="Arial"/>
          <w:lang w:val="fr-FR"/>
        </w:rPr>
        <w:t xml:space="preserve"> up d’activités de R &amp; I sur les applications de CCS et sur la viabilité commerciale du CCU ;</w:t>
      </w:r>
    </w:p>
    <w:p w:rsidR="00871651" w:rsidRPr="000D1929" w:rsidRDefault="00871651" w:rsidP="00AA5EED">
      <w:pPr>
        <w:pStyle w:val="Paragraphedeliste"/>
        <w:numPr>
          <w:ilvl w:val="0"/>
          <w:numId w:val="8"/>
        </w:numPr>
        <w:ind w:left="714" w:hanging="357"/>
        <w:jc w:val="both"/>
        <w:rPr>
          <w:rFonts w:ascii="Century Gothic" w:hAnsi="Century Gothic" w:cs="Arial"/>
          <w:lang w:val="fr-BE"/>
        </w:rPr>
      </w:pPr>
      <w:r w:rsidRPr="000D1929">
        <w:rPr>
          <w:rFonts w:ascii="Century Gothic" w:hAnsi="Century Gothic" w:cs="Arial"/>
          <w:lang w:val="fr-FR"/>
        </w:rPr>
        <w:t>Le maintien d'un haut niveau de sûreté des réacteurs nucléaires et des cycles du combustible associés pendant leur fonctionnement et leur déclassement, tout en améliorant leur efficacité.</w:t>
      </w:r>
    </w:p>
    <w:p w:rsidR="00342F71" w:rsidRPr="000D1929" w:rsidRDefault="00342F71" w:rsidP="00342F71">
      <w:pPr>
        <w:jc w:val="both"/>
        <w:rPr>
          <w:rFonts w:ascii="Century Gothic" w:hAnsi="Century Gothic"/>
        </w:rPr>
      </w:pPr>
      <w:r w:rsidRPr="000D1929">
        <w:rPr>
          <w:rFonts w:ascii="Century Gothic" w:hAnsi="Century Gothic"/>
        </w:rPr>
        <w:t xml:space="preserve">Actuellement, les réflexions </w:t>
      </w:r>
      <w:r w:rsidR="00A4236E" w:rsidRPr="000D1929">
        <w:rPr>
          <w:rFonts w:ascii="Century Gothic" w:hAnsi="Century Gothic"/>
        </w:rPr>
        <w:t>ont été menées pour la majorité des thématiques et ont abouti à l’élaboration de « déclarations d’intention » dans les diverses thématiques. Ces « déclarations d’intention », implémentées par les parties prenantes et validées par les Etats-Membres, reprennent les actions générales à mener dans chacune des technologies et identifient les goulots d’étranglement à lever pour l’implémentation de celles-ci. A terme, les actions à mener devront veiller à répondre</w:t>
      </w:r>
      <w:r w:rsidR="00F86471" w:rsidRPr="00F86471">
        <w:rPr>
          <w:rFonts w:ascii="Century Gothic" w:hAnsi="Century Gothic"/>
        </w:rPr>
        <w:t xml:space="preserve"> </w:t>
      </w:r>
      <w:r w:rsidR="00F86471" w:rsidRPr="000D1929">
        <w:rPr>
          <w:rFonts w:ascii="Century Gothic" w:hAnsi="Century Gothic"/>
        </w:rPr>
        <w:t>spécifiquement</w:t>
      </w:r>
      <w:r w:rsidR="00A4236E" w:rsidRPr="000D1929">
        <w:rPr>
          <w:rFonts w:ascii="Century Gothic" w:hAnsi="Century Gothic"/>
        </w:rPr>
        <w:t xml:space="preserve"> à ces problèmes. La seconde phase de discussions vient de débuter et devrait permettre, d’ici à deux ans, de finaliser des feuilles de route technologiques intégrées reprenant les domaines technologiques stratégiques dans lesquels il sera important d’investir dans le futur.</w:t>
      </w:r>
    </w:p>
    <w:p w:rsidR="0033110E" w:rsidRPr="000D1929" w:rsidRDefault="00342F71" w:rsidP="00342F71">
      <w:pPr>
        <w:jc w:val="both"/>
        <w:rPr>
          <w:rFonts w:ascii="Century Gothic" w:hAnsi="Century Gothic"/>
        </w:rPr>
      </w:pPr>
      <w:r w:rsidRPr="000D1929">
        <w:rPr>
          <w:rFonts w:ascii="Century Gothic" w:hAnsi="Century Gothic"/>
        </w:rPr>
        <w:t>Afin de parvenir à ces objectifs ambitieux, la Commission</w:t>
      </w:r>
      <w:r w:rsidR="00CC5D73" w:rsidRPr="000D1929">
        <w:rPr>
          <w:rFonts w:ascii="Century Gothic" w:hAnsi="Century Gothic"/>
        </w:rPr>
        <w:t xml:space="preserve"> a très rapidement mis en place, en parallèle, </w:t>
      </w:r>
      <w:r w:rsidRPr="000D1929">
        <w:rPr>
          <w:rFonts w:ascii="Century Gothic" w:hAnsi="Century Gothic"/>
        </w:rPr>
        <w:t xml:space="preserve">une vaste réflexion sur la capitalisation des ressources financières tant au niveau des institutions européennes (Horizon2020, Fonds structurels et d’Investissement européens, Banque centrale européenne,…) </w:t>
      </w:r>
      <w:r w:rsidR="00CC5D73" w:rsidRPr="000D1929">
        <w:rPr>
          <w:rFonts w:ascii="Century Gothic" w:hAnsi="Century Gothic"/>
        </w:rPr>
        <w:t>qu’</w:t>
      </w:r>
      <w:r w:rsidRPr="000D1929">
        <w:rPr>
          <w:rFonts w:ascii="Century Gothic" w:hAnsi="Century Gothic"/>
        </w:rPr>
        <w:t xml:space="preserve">au niveau des Etats-Membres. La volonté </w:t>
      </w:r>
      <w:r w:rsidR="00F86471">
        <w:rPr>
          <w:rFonts w:ascii="Century Gothic" w:hAnsi="Century Gothic"/>
        </w:rPr>
        <w:t>est</w:t>
      </w:r>
      <w:r w:rsidRPr="000D1929">
        <w:rPr>
          <w:rFonts w:ascii="Century Gothic" w:hAnsi="Century Gothic"/>
        </w:rPr>
        <w:t>, à terme, de limiter la concurrence néfaste au développement efficace des technologies les plus prometteuses en capitalisant les efforts financiers au mieux.</w:t>
      </w:r>
    </w:p>
    <w:p w:rsidR="00342F71" w:rsidRPr="000D1929" w:rsidRDefault="00CC5D73" w:rsidP="00342F71">
      <w:pPr>
        <w:jc w:val="both"/>
        <w:rPr>
          <w:rFonts w:ascii="Century Gothic" w:hAnsi="Century Gothic"/>
        </w:rPr>
      </w:pPr>
      <w:r w:rsidRPr="000D1929">
        <w:rPr>
          <w:rFonts w:ascii="Century Gothic" w:hAnsi="Century Gothic"/>
        </w:rPr>
        <w:t>L’outil financier principal de la Commi</w:t>
      </w:r>
      <w:r w:rsidR="00F86471">
        <w:rPr>
          <w:rFonts w:ascii="Century Gothic" w:hAnsi="Century Gothic"/>
        </w:rPr>
        <w:t xml:space="preserve">ssion restera, pour les années à </w:t>
      </w:r>
      <w:r w:rsidRPr="000D1929">
        <w:rPr>
          <w:rFonts w:ascii="Century Gothic" w:hAnsi="Century Gothic"/>
        </w:rPr>
        <w:t>venir, le Programme Horizon2020 qui a fait suite au 7</w:t>
      </w:r>
      <w:r w:rsidRPr="000D1929">
        <w:rPr>
          <w:rFonts w:ascii="Century Gothic" w:hAnsi="Century Gothic"/>
          <w:vertAlign w:val="superscript"/>
        </w:rPr>
        <w:t>ème</w:t>
      </w:r>
      <w:r w:rsidRPr="000D1929">
        <w:rPr>
          <w:rFonts w:ascii="Century Gothic" w:hAnsi="Century Gothic"/>
        </w:rPr>
        <w:t xml:space="preserve"> Programme Cadre de Recherche et Développement. Doté d’un budget global de 80 milliard d’Euros, </w:t>
      </w:r>
      <w:r w:rsidR="00FD4C2B" w:rsidRPr="000D1929">
        <w:rPr>
          <w:rFonts w:ascii="Century Gothic" w:hAnsi="Century Gothic"/>
        </w:rPr>
        <w:t>le programme Horizon2020 a été lancé officiellement en 2014 en prévoyant un budget spécifique pour les technologies environnementales et énergétiques de 3,1 milliards d’Euros.</w:t>
      </w:r>
    </w:p>
    <w:p w:rsidR="00FD4C2B" w:rsidRPr="000D1929" w:rsidRDefault="00FD4C2B" w:rsidP="00342F71">
      <w:pPr>
        <w:jc w:val="both"/>
        <w:rPr>
          <w:rFonts w:ascii="Century Gothic" w:hAnsi="Century Gothic"/>
        </w:rPr>
      </w:pPr>
      <w:r w:rsidRPr="000D1929">
        <w:rPr>
          <w:rFonts w:ascii="Century Gothic" w:hAnsi="Century Gothic"/>
        </w:rPr>
        <w:t>Annuellement, et ce jusque 2020</w:t>
      </w:r>
      <w:r w:rsidR="00921F07" w:rsidRPr="000D1929">
        <w:rPr>
          <w:rFonts w:ascii="Century Gothic" w:hAnsi="Century Gothic"/>
        </w:rPr>
        <w:t>, la Commission procède à des appels en mettant l’accent sur les diverses thématiques du SET Plan et en s’appuyant, ponctuellement, sur d’autres appels repris sous Horizon2020 (matériaux, TIC, transport,…).</w:t>
      </w:r>
    </w:p>
    <w:p w:rsidR="006C3884" w:rsidRPr="000D1929" w:rsidRDefault="006C3884" w:rsidP="00342F71">
      <w:pPr>
        <w:jc w:val="both"/>
        <w:rPr>
          <w:rFonts w:ascii="Century Gothic" w:hAnsi="Century Gothic"/>
        </w:rPr>
      </w:pPr>
      <w:r w:rsidRPr="000D1929">
        <w:rPr>
          <w:rFonts w:ascii="Century Gothic" w:hAnsi="Century Gothic"/>
        </w:rPr>
        <w:t xml:space="preserve">Dans le processus décisionnel lié tant au SET Plan qu’à l’approbation des programmes de travail de Horizon 2020, les parties prenantes assurent une part prépondérante, tant dans le transfert d’informations sur leurs besoins et leurs forces pour assurer l’avenir du système énergétique que dans le processus décisionnel. A ce titre, tant le secteur industriel que le secteur de la recherche plus fondamentale </w:t>
      </w:r>
      <w:r w:rsidRPr="000D1929">
        <w:rPr>
          <w:rFonts w:ascii="Century Gothic" w:hAnsi="Century Gothic"/>
        </w:rPr>
        <w:lastRenderedPageBreak/>
        <w:t>se sont associés de manière structurée au niveau européen. Les industries sont ainsi rassemblées au niveau de divers ETIP (</w:t>
      </w:r>
      <w:proofErr w:type="spellStart"/>
      <w:r w:rsidRPr="000D1929">
        <w:rPr>
          <w:rFonts w:ascii="Century Gothic" w:hAnsi="Century Gothic"/>
        </w:rPr>
        <w:t>European</w:t>
      </w:r>
      <w:proofErr w:type="spellEnd"/>
      <w:r w:rsidRPr="000D1929">
        <w:rPr>
          <w:rFonts w:ascii="Century Gothic" w:hAnsi="Century Gothic"/>
        </w:rPr>
        <w:t xml:space="preserve"> and </w:t>
      </w:r>
      <w:proofErr w:type="spellStart"/>
      <w:r w:rsidRPr="000D1929">
        <w:rPr>
          <w:rFonts w:ascii="Century Gothic" w:hAnsi="Century Gothic"/>
        </w:rPr>
        <w:t>Technology</w:t>
      </w:r>
      <w:proofErr w:type="spellEnd"/>
      <w:r w:rsidRPr="000D1929">
        <w:rPr>
          <w:rFonts w:ascii="Century Gothic" w:hAnsi="Century Gothic"/>
        </w:rPr>
        <w:t xml:space="preserve"> Innovation Platform – voir supra) suivant les thématiques. De son côté, la communauté scientifique est rassemblée au niveau de l’EERA (</w:t>
      </w:r>
      <w:proofErr w:type="spellStart"/>
      <w:r w:rsidRPr="000D1929">
        <w:rPr>
          <w:rFonts w:ascii="Century Gothic" w:hAnsi="Century Gothic"/>
        </w:rPr>
        <w:t>European</w:t>
      </w:r>
      <w:proofErr w:type="spellEnd"/>
      <w:r w:rsidRPr="000D1929">
        <w:rPr>
          <w:rFonts w:ascii="Century Gothic" w:hAnsi="Century Gothic"/>
        </w:rPr>
        <w:t xml:space="preserve"> </w:t>
      </w:r>
      <w:proofErr w:type="spellStart"/>
      <w:r w:rsidRPr="000D1929">
        <w:rPr>
          <w:rFonts w:ascii="Century Gothic" w:hAnsi="Century Gothic"/>
        </w:rPr>
        <w:t>Energy</w:t>
      </w:r>
      <w:proofErr w:type="spellEnd"/>
      <w:r w:rsidRPr="000D1929">
        <w:rPr>
          <w:rFonts w:ascii="Century Gothic" w:hAnsi="Century Gothic"/>
        </w:rPr>
        <w:t xml:space="preserve"> </w:t>
      </w:r>
      <w:proofErr w:type="spellStart"/>
      <w:r w:rsidRPr="000D1929">
        <w:rPr>
          <w:rFonts w:ascii="Century Gothic" w:hAnsi="Century Gothic"/>
        </w:rPr>
        <w:t>Research</w:t>
      </w:r>
      <w:proofErr w:type="spellEnd"/>
      <w:r w:rsidRPr="000D1929">
        <w:rPr>
          <w:rFonts w:ascii="Century Gothic" w:hAnsi="Century Gothic"/>
        </w:rPr>
        <w:t xml:space="preserve"> Alliance).</w:t>
      </w:r>
    </w:p>
    <w:p w:rsidR="00B66587" w:rsidRPr="000D1929" w:rsidRDefault="00B66587" w:rsidP="00342F71">
      <w:pPr>
        <w:jc w:val="both"/>
        <w:rPr>
          <w:rFonts w:ascii="Century Gothic" w:hAnsi="Century Gothic"/>
        </w:rPr>
      </w:pPr>
      <w:r w:rsidRPr="000D1929">
        <w:rPr>
          <w:rFonts w:ascii="Century Gothic" w:hAnsi="Century Gothic"/>
        </w:rPr>
        <w:t>Au niveau wallon, les feuilles de route technologiques établies au niveau européen n’ont pas été implémentées. Une réflexion est actuellement en cours avec la DGO6 (Direction générale opérationnelle de l’Economie, de l’Emploi et de la Recherche), les Pôles de compétitivité et les Clusters technologique afin de veiller à s’inscrire de manière plus active dans la démarche du SET Plan.</w:t>
      </w:r>
    </w:p>
    <w:p w:rsidR="00D00B50" w:rsidRPr="000D1929" w:rsidRDefault="00D00B50" w:rsidP="00D00B50">
      <w:pPr>
        <w:jc w:val="both"/>
        <w:rPr>
          <w:rFonts w:ascii="Century Gothic" w:hAnsi="Century Gothic"/>
          <w:lang w:val="fr-FR"/>
        </w:rPr>
      </w:pPr>
      <w:r w:rsidRPr="000D1929">
        <w:rPr>
          <w:rFonts w:ascii="Century Gothic" w:hAnsi="Century Gothic"/>
          <w:lang w:val="fr-FR"/>
        </w:rPr>
        <w:t xml:space="preserve">L’autre chantier nécessaire pour permettre aux expertises wallonnes d’émerger au niveau européen, c’est la coopération et la communautarisation des acteurs de la recherche en minimisant de manière </w:t>
      </w:r>
      <w:r w:rsidR="003F6B8B" w:rsidRPr="000D1929">
        <w:rPr>
          <w:rFonts w:ascii="Century Gothic" w:hAnsi="Century Gothic"/>
          <w:lang w:val="fr-FR"/>
        </w:rPr>
        <w:t>efficace</w:t>
      </w:r>
      <w:r w:rsidRPr="000D1929">
        <w:rPr>
          <w:rFonts w:ascii="Century Gothic" w:hAnsi="Century Gothic"/>
          <w:lang w:val="fr-FR"/>
        </w:rPr>
        <w:t xml:space="preserve"> les phénomènes de mise en compétition. Afin de répondre à cette réalité, il y a quelques années, une initiative de structuration de la recherche et développement en Wallonie avait été réalisée (via le WARE – </w:t>
      </w:r>
      <w:proofErr w:type="spellStart"/>
      <w:r w:rsidRPr="000D1929">
        <w:rPr>
          <w:rFonts w:ascii="Century Gothic" w:hAnsi="Century Gothic"/>
          <w:lang w:val="fr-FR"/>
        </w:rPr>
        <w:t>Walloon</w:t>
      </w:r>
      <w:proofErr w:type="spellEnd"/>
      <w:r w:rsidRPr="000D1929">
        <w:rPr>
          <w:rFonts w:ascii="Century Gothic" w:hAnsi="Century Gothic"/>
          <w:lang w:val="fr-FR"/>
        </w:rPr>
        <w:t xml:space="preserve"> Alliance for </w:t>
      </w:r>
      <w:proofErr w:type="spellStart"/>
      <w:r w:rsidRPr="000D1929">
        <w:rPr>
          <w:rFonts w:ascii="Century Gothic" w:hAnsi="Century Gothic"/>
          <w:lang w:val="fr-FR"/>
        </w:rPr>
        <w:t>Research</w:t>
      </w:r>
      <w:proofErr w:type="spellEnd"/>
      <w:r w:rsidRPr="000D1929">
        <w:rPr>
          <w:rFonts w:ascii="Century Gothic" w:hAnsi="Century Gothic"/>
          <w:lang w:val="fr-FR"/>
        </w:rPr>
        <w:t xml:space="preserve"> in Energy) mais sans que celle-ci n’atteigne les objectifs attendus de manière satisfaisante. Cette situation, due à une certaine frilosité vis-à-vis d’une démarche commune à porter au niveau européen, a néanmoins trouvé un écho au niveau du BERA (</w:t>
      </w:r>
      <w:proofErr w:type="spellStart"/>
      <w:r w:rsidRPr="000D1929">
        <w:rPr>
          <w:rFonts w:ascii="Century Gothic" w:hAnsi="Century Gothic"/>
          <w:lang w:val="fr-FR"/>
        </w:rPr>
        <w:t>Belgian</w:t>
      </w:r>
      <w:proofErr w:type="spellEnd"/>
      <w:r w:rsidRPr="000D1929">
        <w:rPr>
          <w:rFonts w:ascii="Century Gothic" w:hAnsi="Century Gothic"/>
          <w:lang w:val="fr-FR"/>
        </w:rPr>
        <w:t xml:space="preserve"> </w:t>
      </w:r>
      <w:proofErr w:type="spellStart"/>
      <w:r w:rsidRPr="000D1929">
        <w:rPr>
          <w:rFonts w:ascii="Century Gothic" w:hAnsi="Century Gothic"/>
          <w:lang w:val="fr-FR"/>
        </w:rPr>
        <w:t>Energy</w:t>
      </w:r>
      <w:proofErr w:type="spellEnd"/>
      <w:r w:rsidRPr="000D1929">
        <w:rPr>
          <w:rFonts w:ascii="Century Gothic" w:hAnsi="Century Gothic"/>
          <w:lang w:val="fr-FR"/>
        </w:rPr>
        <w:t xml:space="preserve"> </w:t>
      </w:r>
      <w:proofErr w:type="spellStart"/>
      <w:r w:rsidRPr="000D1929">
        <w:rPr>
          <w:rFonts w:ascii="Century Gothic" w:hAnsi="Century Gothic"/>
          <w:lang w:val="fr-FR"/>
        </w:rPr>
        <w:t>Research</w:t>
      </w:r>
      <w:proofErr w:type="spellEnd"/>
      <w:r w:rsidRPr="000D1929">
        <w:rPr>
          <w:rFonts w:ascii="Century Gothic" w:hAnsi="Century Gothic"/>
          <w:lang w:val="fr-FR"/>
        </w:rPr>
        <w:t xml:space="preserve"> Alliance actuellement présidée par Patrick HENDRICK de l’ULB). </w:t>
      </w:r>
    </w:p>
    <w:p w:rsidR="00B66587" w:rsidRPr="000D1929" w:rsidRDefault="00B66587" w:rsidP="00342F71">
      <w:pPr>
        <w:jc w:val="both"/>
        <w:rPr>
          <w:rFonts w:ascii="Century Gothic" w:hAnsi="Century Gothic"/>
        </w:rPr>
      </w:pPr>
      <w:r w:rsidRPr="000D1929">
        <w:rPr>
          <w:rFonts w:ascii="Century Gothic" w:hAnsi="Century Gothic"/>
        </w:rPr>
        <w:t>Le soutien spécifique à la recherche est assuré essentiellement via l’application du Décret du 3 juillet 2008 relatif au soutien de la recherche, du développement et de l’innovation en Wallonie et de ses arrêtés d’application. Il s’agit d’une législation applicable à la recherche mené</w:t>
      </w:r>
      <w:r w:rsidR="00A84845" w:rsidRPr="000D1929">
        <w:rPr>
          <w:rFonts w:ascii="Century Gothic" w:hAnsi="Century Gothic"/>
        </w:rPr>
        <w:t>e</w:t>
      </w:r>
      <w:r w:rsidRPr="000D1929">
        <w:rPr>
          <w:rFonts w:ascii="Century Gothic" w:hAnsi="Century Gothic"/>
        </w:rPr>
        <w:t xml:space="preserve"> dans tous les secteurs technologiques, en ce compris l’énergie</w:t>
      </w:r>
      <w:r w:rsidR="00502EF0" w:rsidRPr="000D1929">
        <w:rPr>
          <w:rFonts w:ascii="Century Gothic" w:hAnsi="Century Gothic"/>
        </w:rPr>
        <w:t xml:space="preserve"> et l’environnement.</w:t>
      </w:r>
    </w:p>
    <w:p w:rsidR="00502EF0" w:rsidRPr="000D1929" w:rsidRDefault="00502EF0" w:rsidP="00342F71">
      <w:pPr>
        <w:jc w:val="both"/>
        <w:rPr>
          <w:rFonts w:ascii="Century Gothic" w:hAnsi="Century Gothic"/>
        </w:rPr>
      </w:pPr>
      <w:r w:rsidRPr="000D1929">
        <w:rPr>
          <w:rFonts w:ascii="Century Gothic" w:hAnsi="Century Gothic"/>
        </w:rPr>
        <w:t xml:space="preserve">Parallèlement, sous l’impulsion du Plan Marchal, les Pôles </w:t>
      </w:r>
      <w:proofErr w:type="spellStart"/>
      <w:r w:rsidRPr="000D1929">
        <w:rPr>
          <w:rFonts w:ascii="Century Gothic" w:hAnsi="Century Gothic"/>
        </w:rPr>
        <w:t>Mecatech</w:t>
      </w:r>
      <w:proofErr w:type="spellEnd"/>
      <w:r w:rsidRPr="000D1929">
        <w:rPr>
          <w:rFonts w:ascii="Century Gothic" w:hAnsi="Century Gothic"/>
        </w:rPr>
        <w:t xml:space="preserve"> (en 2006) et </w:t>
      </w:r>
      <w:proofErr w:type="spellStart"/>
      <w:r w:rsidRPr="000D1929">
        <w:rPr>
          <w:rFonts w:ascii="Century Gothic" w:hAnsi="Century Gothic"/>
        </w:rPr>
        <w:t>GreenWin</w:t>
      </w:r>
      <w:proofErr w:type="spellEnd"/>
      <w:r w:rsidRPr="000D1929">
        <w:rPr>
          <w:rFonts w:ascii="Century Gothic" w:hAnsi="Century Gothic"/>
        </w:rPr>
        <w:t xml:space="preserve"> (en 2010) ont été créés avec pour objectifs l’encadrement des acteurs du développement technologique et le soutien à des projets de recherche et innovation dans le domaine du génie mécanique </w:t>
      </w:r>
      <w:r w:rsidR="00CA6912" w:rsidRPr="000D1929">
        <w:rPr>
          <w:rFonts w:ascii="Century Gothic" w:hAnsi="Century Gothic"/>
        </w:rPr>
        <w:t>et dans le domaine de la chimie verte.</w:t>
      </w:r>
    </w:p>
    <w:p w:rsidR="006C3884" w:rsidRPr="000D1929" w:rsidRDefault="00CA6912" w:rsidP="00DE37D1">
      <w:pPr>
        <w:jc w:val="both"/>
        <w:rPr>
          <w:rFonts w:ascii="Century Gothic" w:hAnsi="Century Gothic"/>
        </w:rPr>
      </w:pPr>
      <w:r w:rsidRPr="000D1929">
        <w:rPr>
          <w:rFonts w:ascii="Century Gothic" w:hAnsi="Century Gothic"/>
        </w:rPr>
        <w:t xml:space="preserve">Même si la recherche en énergie </w:t>
      </w:r>
      <w:r w:rsidR="00645DD2" w:rsidRPr="000D1929">
        <w:rPr>
          <w:rFonts w:ascii="Century Gothic" w:hAnsi="Century Gothic"/>
        </w:rPr>
        <w:t>est</w:t>
      </w:r>
      <w:r w:rsidRPr="000D1929">
        <w:rPr>
          <w:rFonts w:ascii="Century Gothic" w:hAnsi="Century Gothic"/>
        </w:rPr>
        <w:t xml:space="preserve"> mise en compétition avec les autres technologies</w:t>
      </w:r>
      <w:r w:rsidR="00645DD2" w:rsidRPr="000D1929">
        <w:rPr>
          <w:rFonts w:ascii="Century Gothic" w:hAnsi="Century Gothic"/>
        </w:rPr>
        <w:t>, la Région wallonne a pu spécifiquement soutenir plusieurs projets soit au travers d’appels généraux (Pôles, First, CWALITY), soit spécifiques (Erable, RELIABLE et ENERGINSERE pour les plus récents), soit au travers de sollicitations à projets en énergie</w:t>
      </w:r>
      <w:r w:rsidR="00DE37D1" w:rsidRPr="000D1929">
        <w:rPr>
          <w:rFonts w:ascii="Century Gothic" w:hAnsi="Century Gothic"/>
        </w:rPr>
        <w:t xml:space="preserve"> (230 millions € en 5 ans dont 49 pour les énergies renouvelables)</w:t>
      </w:r>
      <w:r w:rsidR="00645DD2" w:rsidRPr="000D1929">
        <w:rPr>
          <w:rFonts w:ascii="Century Gothic" w:hAnsi="Century Gothic"/>
        </w:rPr>
        <w:t xml:space="preserve">. </w:t>
      </w:r>
    </w:p>
    <w:p w:rsidR="0080402C" w:rsidRDefault="0080402C">
      <w:pPr>
        <w:rPr>
          <w:rFonts w:ascii="Century Gothic" w:hAnsi="Century Gothic"/>
        </w:rPr>
      </w:pPr>
      <w:r>
        <w:rPr>
          <w:rFonts w:ascii="Century Gothic" w:hAnsi="Century Gothic"/>
        </w:rPr>
        <w:br w:type="page"/>
      </w:r>
    </w:p>
    <w:p w:rsidR="006C3884" w:rsidRPr="000D1929" w:rsidRDefault="006C3884" w:rsidP="00342F71">
      <w:pPr>
        <w:jc w:val="both"/>
        <w:rPr>
          <w:rFonts w:ascii="Century Gothic" w:hAnsi="Century Gothic"/>
        </w:rPr>
      </w:pPr>
    </w:p>
    <w:p w:rsidR="00756CB3" w:rsidRPr="000D1929" w:rsidRDefault="00756CB3" w:rsidP="0080402C">
      <w:pPr>
        <w:pStyle w:val="Titre1"/>
        <w:numPr>
          <w:ilvl w:val="0"/>
          <w:numId w:val="11"/>
        </w:numPr>
      </w:pPr>
      <w:bookmarkStart w:id="1" w:name="_Toc475970796"/>
      <w:r w:rsidRPr="000D1929">
        <w:t>Objectif de la consultation</w:t>
      </w:r>
      <w:bookmarkEnd w:id="1"/>
    </w:p>
    <w:p w:rsidR="00756CB3" w:rsidRPr="000D1929" w:rsidRDefault="00756CB3">
      <w:pPr>
        <w:rPr>
          <w:rFonts w:ascii="Century Gothic" w:hAnsi="Century Gothic"/>
        </w:rPr>
      </w:pPr>
    </w:p>
    <w:p w:rsidR="00B11C95" w:rsidRPr="000D1929" w:rsidRDefault="000A72CB" w:rsidP="000A72CB">
      <w:pPr>
        <w:jc w:val="both"/>
        <w:rPr>
          <w:rFonts w:ascii="Century Gothic" w:hAnsi="Century Gothic"/>
        </w:rPr>
      </w:pPr>
      <w:r w:rsidRPr="000D1929">
        <w:rPr>
          <w:rFonts w:ascii="Century Gothic" w:hAnsi="Century Gothic"/>
        </w:rPr>
        <w:t xml:space="preserve">La consultation </w:t>
      </w:r>
      <w:r w:rsidR="0080402C">
        <w:rPr>
          <w:rFonts w:ascii="Century Gothic" w:hAnsi="Century Gothic"/>
        </w:rPr>
        <w:t>doit</w:t>
      </w:r>
      <w:r w:rsidRPr="000D1929">
        <w:rPr>
          <w:rFonts w:ascii="Century Gothic" w:hAnsi="Century Gothic"/>
        </w:rPr>
        <w:t xml:space="preserve"> permettre, à terme, de définir au mieux les actions permettant d’améliorer le positionnement wallon et la compétitivité de nos entreprises dans les démarches du SET Plan. Elle devrait ainsi permettre de déterminer au mieux les actions à entreprendre tant vers nos acteurs que vers les éventuels partenaires extrarégionaux. Cette approche </w:t>
      </w:r>
      <w:r w:rsidR="0080402C">
        <w:rPr>
          <w:rFonts w:ascii="Century Gothic" w:hAnsi="Century Gothic"/>
        </w:rPr>
        <w:t>est</w:t>
      </w:r>
      <w:r w:rsidRPr="000D1929">
        <w:rPr>
          <w:rFonts w:ascii="Century Gothic" w:hAnsi="Century Gothic"/>
        </w:rPr>
        <w:t xml:space="preserve"> multithématique :</w:t>
      </w:r>
    </w:p>
    <w:p w:rsidR="000A72CB" w:rsidRPr="000D1929" w:rsidRDefault="000A72CB" w:rsidP="000A72CB">
      <w:pPr>
        <w:pStyle w:val="Paragraphedeliste"/>
        <w:numPr>
          <w:ilvl w:val="0"/>
          <w:numId w:val="9"/>
        </w:numPr>
        <w:jc w:val="both"/>
        <w:rPr>
          <w:rFonts w:ascii="Century Gothic" w:hAnsi="Century Gothic"/>
          <w:lang w:val="fr-FR"/>
        </w:rPr>
      </w:pPr>
      <w:r w:rsidRPr="000D1929">
        <w:rPr>
          <w:rFonts w:ascii="Century Gothic" w:hAnsi="Century Gothic"/>
          <w:lang w:val="fr-FR"/>
        </w:rPr>
        <w:t xml:space="preserve">Quel accompagnement devra être </w:t>
      </w:r>
      <w:r w:rsidR="008D101E" w:rsidRPr="000D1929">
        <w:rPr>
          <w:rFonts w:ascii="Century Gothic" w:hAnsi="Century Gothic"/>
          <w:lang w:val="fr-FR"/>
        </w:rPr>
        <w:t xml:space="preserve">réservé à nos acteurs en recherche ? </w:t>
      </w:r>
    </w:p>
    <w:p w:rsidR="008D101E" w:rsidRPr="000D1929" w:rsidRDefault="008D101E" w:rsidP="000A72CB">
      <w:pPr>
        <w:pStyle w:val="Paragraphedeliste"/>
        <w:numPr>
          <w:ilvl w:val="0"/>
          <w:numId w:val="9"/>
        </w:numPr>
        <w:jc w:val="both"/>
        <w:rPr>
          <w:rFonts w:ascii="Century Gothic" w:hAnsi="Century Gothic"/>
          <w:lang w:val="fr-FR"/>
        </w:rPr>
      </w:pPr>
      <w:r w:rsidRPr="000D1929">
        <w:rPr>
          <w:rFonts w:ascii="Century Gothic" w:hAnsi="Century Gothic"/>
          <w:lang w:val="fr-FR"/>
        </w:rPr>
        <w:t>Quels moyens devraient être prévus pour accompagner la recherche et l’innovation ?</w:t>
      </w:r>
    </w:p>
    <w:p w:rsidR="008D101E" w:rsidRPr="000D1929" w:rsidRDefault="008D101E" w:rsidP="000A72CB">
      <w:pPr>
        <w:pStyle w:val="Paragraphedeliste"/>
        <w:numPr>
          <w:ilvl w:val="0"/>
          <w:numId w:val="9"/>
        </w:numPr>
        <w:jc w:val="both"/>
        <w:rPr>
          <w:rFonts w:ascii="Century Gothic" w:hAnsi="Century Gothic"/>
          <w:lang w:val="fr-FR"/>
        </w:rPr>
      </w:pPr>
      <w:r w:rsidRPr="000D1929">
        <w:rPr>
          <w:rFonts w:ascii="Century Gothic" w:hAnsi="Century Gothic"/>
          <w:lang w:val="fr-FR"/>
        </w:rPr>
        <w:t>Comment implémenter au mieux les feuilles de route technologiques européennes en Wallonie ?</w:t>
      </w:r>
    </w:p>
    <w:p w:rsidR="008D101E" w:rsidRPr="000D1929" w:rsidRDefault="008D101E" w:rsidP="000A72CB">
      <w:pPr>
        <w:pStyle w:val="Paragraphedeliste"/>
        <w:numPr>
          <w:ilvl w:val="0"/>
          <w:numId w:val="9"/>
        </w:numPr>
        <w:jc w:val="both"/>
        <w:rPr>
          <w:rFonts w:ascii="Century Gothic" w:hAnsi="Century Gothic"/>
          <w:lang w:val="fr-FR"/>
        </w:rPr>
      </w:pPr>
      <w:r w:rsidRPr="000D1929">
        <w:rPr>
          <w:rFonts w:ascii="Century Gothic" w:hAnsi="Century Gothic"/>
          <w:lang w:val="fr-FR"/>
        </w:rPr>
        <w:t>Comment assurer une meilleure visibilité des équipes de recherche wallonnes hors de la Wallonie ?</w:t>
      </w:r>
    </w:p>
    <w:p w:rsidR="008D101E" w:rsidRPr="000D1929" w:rsidRDefault="008D101E" w:rsidP="008D101E">
      <w:pPr>
        <w:jc w:val="both"/>
        <w:rPr>
          <w:rFonts w:ascii="Century Gothic" w:hAnsi="Century Gothic"/>
          <w:lang w:val="fr-FR"/>
        </w:rPr>
      </w:pPr>
      <w:r w:rsidRPr="000D1929">
        <w:rPr>
          <w:rFonts w:ascii="Century Gothic" w:hAnsi="Century Gothic"/>
          <w:lang w:val="fr-FR"/>
        </w:rPr>
        <w:t>Il est évident que la plupart des réflexions pourraient être transposées à d’autres technologies, mais la démarche ici présentée vise bien la recherche et l’innovation dans les domaines énergétiques où un manque de visibilité certain subsiste</w:t>
      </w:r>
      <w:r w:rsidR="00E83083" w:rsidRPr="000D1929">
        <w:rPr>
          <w:rFonts w:ascii="Century Gothic" w:hAnsi="Century Gothic"/>
          <w:lang w:val="fr-FR"/>
        </w:rPr>
        <w:t xml:space="preserve"> </w:t>
      </w:r>
      <w:r w:rsidR="005A38D6" w:rsidRPr="000D1929">
        <w:rPr>
          <w:rFonts w:ascii="Century Gothic" w:hAnsi="Century Gothic"/>
          <w:lang w:val="fr-FR"/>
        </w:rPr>
        <w:t xml:space="preserve">(principalement au niveau européen) </w:t>
      </w:r>
      <w:r w:rsidR="00E83083" w:rsidRPr="000D1929">
        <w:rPr>
          <w:rFonts w:ascii="Century Gothic" w:hAnsi="Century Gothic"/>
          <w:lang w:val="fr-FR"/>
        </w:rPr>
        <w:t>alors que la Wallonie dispose d’expertises reconnues individuellement et où certaines discordances subsistent entre les projets subventionnés au niveau local et les volontés européennes en la matière.</w:t>
      </w:r>
    </w:p>
    <w:p w:rsidR="00B11C95" w:rsidRPr="0080402C" w:rsidRDefault="00B11C95" w:rsidP="0080402C">
      <w:pPr>
        <w:pStyle w:val="Titre1"/>
        <w:numPr>
          <w:ilvl w:val="0"/>
          <w:numId w:val="11"/>
        </w:numPr>
      </w:pPr>
      <w:bookmarkStart w:id="2" w:name="_Toc475970797"/>
      <w:r w:rsidRPr="0080402C">
        <w:t>Structure du document</w:t>
      </w:r>
      <w:bookmarkEnd w:id="2"/>
    </w:p>
    <w:p w:rsidR="00B11C95" w:rsidRPr="000D1929" w:rsidRDefault="00B11C95">
      <w:pPr>
        <w:rPr>
          <w:rFonts w:ascii="Century Gothic" w:hAnsi="Century Gothic"/>
        </w:rPr>
      </w:pPr>
    </w:p>
    <w:p w:rsidR="00756CB3" w:rsidRPr="000D1929" w:rsidRDefault="00D35036" w:rsidP="00D35036">
      <w:pPr>
        <w:jc w:val="both"/>
        <w:rPr>
          <w:rFonts w:ascii="Century Gothic" w:hAnsi="Century Gothic"/>
        </w:rPr>
      </w:pPr>
      <w:r w:rsidRPr="000D1929">
        <w:rPr>
          <w:rFonts w:ascii="Century Gothic" w:hAnsi="Century Gothic"/>
        </w:rPr>
        <w:t xml:space="preserve">Le présent document reprend quelques données factuelles explicitées afin de donner une image claire du paysage de la recherche en énergie en Wallonie. Les questions posées resteront assez générales mais </w:t>
      </w:r>
      <w:r w:rsidR="008C0E2D" w:rsidRPr="000D1929">
        <w:rPr>
          <w:rFonts w:ascii="Century Gothic" w:hAnsi="Century Gothic"/>
        </w:rPr>
        <w:t xml:space="preserve">devraient permettre de dresser une série de propositions innovantes sur l’articulation des sources de financement de la recherche et sur les moyens dont la recherche peut permettre à la Wallonie d’atteindre ses objectifs énergétiques et environnementaux tout en améliorant la compétitivité des acteurs de la recherche sur la scène européenne et internationale.  </w:t>
      </w:r>
    </w:p>
    <w:p w:rsidR="00756CB3" w:rsidRPr="000D1929" w:rsidRDefault="00756CB3">
      <w:pPr>
        <w:rPr>
          <w:rFonts w:ascii="Century Gothic" w:eastAsiaTheme="majorEastAsia" w:hAnsi="Century Gothic" w:cstheme="majorBidi"/>
          <w:b/>
          <w:bCs/>
          <w:color w:val="365F91" w:themeColor="accent1" w:themeShade="BF"/>
        </w:rPr>
      </w:pPr>
      <w:r w:rsidRPr="000D1929">
        <w:rPr>
          <w:rFonts w:ascii="Century Gothic" w:hAnsi="Century Gothic"/>
        </w:rPr>
        <w:br w:type="page"/>
      </w:r>
    </w:p>
    <w:p w:rsidR="00F45A69" w:rsidRPr="000D1929" w:rsidRDefault="00F45A69">
      <w:pPr>
        <w:rPr>
          <w:rFonts w:ascii="Century Gothic" w:hAnsi="Century Gothic"/>
        </w:rPr>
      </w:pPr>
    </w:p>
    <w:p w:rsidR="0016690D" w:rsidRPr="00593B69" w:rsidRDefault="00FD4DAB" w:rsidP="00593B69">
      <w:pPr>
        <w:pStyle w:val="Titre1"/>
        <w:numPr>
          <w:ilvl w:val="0"/>
          <w:numId w:val="11"/>
        </w:numPr>
      </w:pPr>
      <w:bookmarkStart w:id="3" w:name="_Toc475970798"/>
      <w:r w:rsidRPr="00593B69">
        <w:t xml:space="preserve">Etat des lieux </w:t>
      </w:r>
      <w:r w:rsidR="0016690D" w:rsidRPr="00593B69">
        <w:t>des politiques et mesures existantes</w:t>
      </w:r>
      <w:r w:rsidR="001C1FBC" w:rsidRPr="00593B69">
        <w:t xml:space="preserve"> en matière de politiques énergétique et climatique</w:t>
      </w:r>
      <w:r w:rsidR="00593B69">
        <w:t> : Dimension Recherche, Innovation &amp; Compétitivité</w:t>
      </w:r>
      <w:bookmarkEnd w:id="3"/>
    </w:p>
    <w:p w:rsidR="0016690D" w:rsidRPr="000D1929" w:rsidRDefault="0016690D">
      <w:pPr>
        <w:rPr>
          <w:rFonts w:ascii="Century Gothic" w:hAnsi="Century Gothic"/>
        </w:rPr>
      </w:pPr>
    </w:p>
    <w:p w:rsidR="007A5B20" w:rsidRPr="000D1929" w:rsidRDefault="007A5B20" w:rsidP="007A5B20">
      <w:pPr>
        <w:rPr>
          <w:rFonts w:ascii="Century Gothic" w:hAnsi="Century Gothic"/>
        </w:rPr>
      </w:pPr>
    </w:p>
    <w:p w:rsidR="0077675C" w:rsidRPr="000D1929" w:rsidRDefault="00593B69" w:rsidP="00593B69">
      <w:pPr>
        <w:pStyle w:val="Titre2"/>
        <w:numPr>
          <w:ilvl w:val="1"/>
          <w:numId w:val="11"/>
        </w:numPr>
      </w:pPr>
      <w:bookmarkStart w:id="4" w:name="_Toc475970799"/>
      <w:r>
        <w:t>Objectif</w:t>
      </w:r>
      <w:r w:rsidR="0077675C" w:rsidRPr="000D1929">
        <w:t>s en matière  de recherche, innovation et compétitivité</w:t>
      </w:r>
      <w:r w:rsidR="00F055B5" w:rsidRPr="000D1929">
        <w:t xml:space="preserve"> en énergie</w:t>
      </w:r>
      <w:bookmarkEnd w:id="4"/>
    </w:p>
    <w:p w:rsidR="0077675C" w:rsidRPr="000D1929" w:rsidRDefault="0077675C" w:rsidP="006E26AA">
      <w:pPr>
        <w:jc w:val="both"/>
        <w:rPr>
          <w:rFonts w:ascii="Century Gothic" w:hAnsi="Century Gothic"/>
        </w:rPr>
      </w:pPr>
    </w:p>
    <w:p w:rsidR="006E26AA" w:rsidRPr="000D1929" w:rsidRDefault="006E26AA" w:rsidP="006E26AA">
      <w:pPr>
        <w:jc w:val="both"/>
        <w:rPr>
          <w:rFonts w:ascii="Century Gothic" w:hAnsi="Century Gothic"/>
        </w:rPr>
      </w:pPr>
      <w:r w:rsidRPr="000D1929">
        <w:rPr>
          <w:rFonts w:ascii="Century Gothic" w:hAnsi="Century Gothic"/>
          <w:u w:val="single"/>
        </w:rPr>
        <w:t>Au niveau de la Wallonie</w:t>
      </w:r>
      <w:r w:rsidRPr="000D1929">
        <w:rPr>
          <w:rFonts w:ascii="Century Gothic" w:hAnsi="Century Gothic"/>
        </w:rPr>
        <w:t xml:space="preserve">, il n’existe aucune </w:t>
      </w:r>
      <w:r w:rsidR="005B4E43" w:rsidRPr="000D1929">
        <w:rPr>
          <w:rFonts w:ascii="Century Gothic" w:hAnsi="Century Gothic"/>
        </w:rPr>
        <w:t>disposition légale spécifiant des objectifs en matière de recherche dans le secteur énergétique. Les budgets disponibles et les appels sont fréquemment formatés afin de laisser une libre concurrence s’installer entre les différentes finalités de la recherche.</w:t>
      </w:r>
    </w:p>
    <w:p w:rsidR="005B4E43" w:rsidRPr="000D1929" w:rsidRDefault="005B4E43" w:rsidP="006E26AA">
      <w:pPr>
        <w:jc w:val="both"/>
        <w:rPr>
          <w:rFonts w:ascii="Century Gothic" w:hAnsi="Century Gothic"/>
        </w:rPr>
      </w:pPr>
      <w:r w:rsidRPr="000D1929">
        <w:rPr>
          <w:rFonts w:ascii="Century Gothic" w:hAnsi="Century Gothic"/>
        </w:rPr>
        <w:t>Notons néanmoins trois exceptions avec les appels :</w:t>
      </w:r>
    </w:p>
    <w:p w:rsidR="005B4E43" w:rsidRPr="000D1929" w:rsidRDefault="005B4E43" w:rsidP="005B4E43">
      <w:pPr>
        <w:pStyle w:val="Paragraphedeliste"/>
        <w:numPr>
          <w:ilvl w:val="0"/>
          <w:numId w:val="4"/>
        </w:numPr>
        <w:jc w:val="both"/>
        <w:rPr>
          <w:rFonts w:ascii="Century Gothic" w:hAnsi="Century Gothic"/>
          <w:lang w:val="fr-FR"/>
        </w:rPr>
      </w:pPr>
      <w:r w:rsidRPr="000D1929">
        <w:rPr>
          <w:rFonts w:ascii="Century Gothic" w:hAnsi="Century Gothic"/>
          <w:lang w:val="fr-FR"/>
        </w:rPr>
        <w:t>ERABLE (2011) qui portrait sur les techniques de production énergétique et sur l’efficacité énergétique;</w:t>
      </w:r>
    </w:p>
    <w:p w:rsidR="005B4E43" w:rsidRPr="000D1929" w:rsidRDefault="00DB65F3" w:rsidP="005B4E43">
      <w:pPr>
        <w:pStyle w:val="Paragraphedeliste"/>
        <w:numPr>
          <w:ilvl w:val="0"/>
          <w:numId w:val="4"/>
        </w:numPr>
        <w:jc w:val="both"/>
        <w:rPr>
          <w:rFonts w:ascii="Century Gothic" w:hAnsi="Century Gothic"/>
          <w:lang w:val="fr-FR"/>
        </w:rPr>
      </w:pPr>
      <w:r w:rsidRPr="000D1929">
        <w:rPr>
          <w:rFonts w:ascii="Century Gothic" w:hAnsi="Century Gothic"/>
          <w:lang w:val="fr-FR"/>
        </w:rPr>
        <w:t>RELIABLE (2012) qui portrait sur les réseaux intelligents;</w:t>
      </w:r>
    </w:p>
    <w:p w:rsidR="00DB65F3" w:rsidRPr="000D1929" w:rsidRDefault="00DB65F3" w:rsidP="005B4E43">
      <w:pPr>
        <w:pStyle w:val="Paragraphedeliste"/>
        <w:numPr>
          <w:ilvl w:val="0"/>
          <w:numId w:val="4"/>
        </w:numPr>
        <w:jc w:val="both"/>
        <w:rPr>
          <w:rFonts w:ascii="Century Gothic" w:hAnsi="Century Gothic"/>
          <w:lang w:val="fr-FR"/>
        </w:rPr>
      </w:pPr>
      <w:r w:rsidRPr="000D1929">
        <w:rPr>
          <w:rFonts w:ascii="Century Gothic" w:hAnsi="Century Gothic"/>
          <w:lang w:val="fr-FR"/>
        </w:rPr>
        <w:t xml:space="preserve">ENERGINSERE (2013) qui portait sur le stockage d’énergie. </w:t>
      </w:r>
    </w:p>
    <w:p w:rsidR="00B37885" w:rsidRPr="000D1929" w:rsidRDefault="00DB65F3" w:rsidP="00DB65F3">
      <w:pPr>
        <w:jc w:val="both"/>
        <w:rPr>
          <w:rFonts w:ascii="Century Gothic" w:hAnsi="Century Gothic"/>
          <w:lang w:val="fr-FR"/>
        </w:rPr>
      </w:pPr>
      <w:r w:rsidRPr="000D1929">
        <w:rPr>
          <w:rFonts w:ascii="Century Gothic" w:hAnsi="Century Gothic"/>
          <w:lang w:val="fr-FR"/>
        </w:rPr>
        <w:t xml:space="preserve">Ces trois appels à projet ont été portés par le Plan Marshall 2.vert (2010-2014) et dotés d’un budget cumulé de 26,5 millions d’€. Ces trois appels </w:t>
      </w:r>
      <w:r w:rsidR="00B37885" w:rsidRPr="000D1929">
        <w:rPr>
          <w:rFonts w:ascii="Century Gothic" w:hAnsi="Century Gothic"/>
          <w:lang w:val="fr-FR"/>
        </w:rPr>
        <w:t>s’appuyaient largement sur les dynamiques européennes en matière d’orientation technologique de la recherche.</w:t>
      </w:r>
    </w:p>
    <w:p w:rsidR="00DB65F3" w:rsidRPr="000D1929" w:rsidRDefault="00B37885" w:rsidP="00DB65F3">
      <w:pPr>
        <w:jc w:val="both"/>
        <w:rPr>
          <w:rFonts w:ascii="Century Gothic" w:hAnsi="Century Gothic"/>
        </w:rPr>
      </w:pPr>
      <w:r w:rsidRPr="000D1929">
        <w:rPr>
          <w:rFonts w:ascii="Century Gothic" w:hAnsi="Century Gothic"/>
          <w:lang w:val="fr-FR"/>
        </w:rPr>
        <w:t>Plus spécifiquement, les actions de recherche en Wallonie sont soutenues par le Décret du</w:t>
      </w:r>
      <w:r w:rsidRPr="000D1929">
        <w:rPr>
          <w:rFonts w:ascii="Century Gothic" w:hAnsi="Century Gothic"/>
        </w:rPr>
        <w:t xml:space="preserve"> 3 juillet 2008 relatif au soutien de la recherche, du développement et de l’innovation en Wallonie et de ses arrêtés d’application.</w:t>
      </w:r>
      <w:r w:rsidR="0068368E" w:rsidRPr="000D1929">
        <w:rPr>
          <w:rFonts w:ascii="Century Gothic" w:hAnsi="Century Gothic"/>
        </w:rPr>
        <w:t xml:space="preserve"> Ces dispositions prévoient le cadre général du soutien à la recherche et définit les schémas de valorisation au niveau de la Wallonie, celle-ci étant primordiale pour l’obtention de crédits de recherche.</w:t>
      </w:r>
      <w:r w:rsidR="00A53201" w:rsidRPr="000D1929">
        <w:rPr>
          <w:rFonts w:ascii="Century Gothic" w:hAnsi="Century Gothic"/>
        </w:rPr>
        <w:t xml:space="preserve"> Tout support de la recherche se fait via des mécanismes prévus dans le décret. A cet effet, un budget annuel global de +/-175 millions € (2016) </w:t>
      </w:r>
      <w:r w:rsidR="00593B69">
        <w:rPr>
          <w:rFonts w:ascii="Century Gothic" w:hAnsi="Century Gothic"/>
        </w:rPr>
        <w:t>est réservé</w:t>
      </w:r>
      <w:r w:rsidR="00A53201" w:rsidRPr="000D1929">
        <w:rPr>
          <w:rFonts w:ascii="Century Gothic" w:hAnsi="Century Gothic"/>
        </w:rPr>
        <w:t xml:space="preserve"> au budget de la Région pour les différents types de soutien (subvention, cofinancement ou avances récupérables). Les tableaux </w:t>
      </w:r>
      <w:r w:rsidR="00AC7719">
        <w:rPr>
          <w:rFonts w:ascii="Century Gothic" w:hAnsi="Century Gothic"/>
        </w:rPr>
        <w:t>ci-</w:t>
      </w:r>
      <w:proofErr w:type="gramStart"/>
      <w:r w:rsidR="00AC7719">
        <w:rPr>
          <w:rFonts w:ascii="Century Gothic" w:hAnsi="Century Gothic"/>
        </w:rPr>
        <w:t>dessous(</w:t>
      </w:r>
      <w:proofErr w:type="gramEnd"/>
      <w:r w:rsidR="00AC7719">
        <w:rPr>
          <w:rFonts w:ascii="Century Gothic" w:hAnsi="Century Gothic"/>
        </w:rPr>
        <w:t xml:space="preserve">4.3. Chiffres-clés) </w:t>
      </w:r>
      <w:r w:rsidR="00A53201" w:rsidRPr="000D1929">
        <w:rPr>
          <w:rFonts w:ascii="Century Gothic" w:hAnsi="Century Gothic"/>
        </w:rPr>
        <w:t xml:space="preserve">donnent une idée de la </w:t>
      </w:r>
      <w:r w:rsidR="00AC7719">
        <w:rPr>
          <w:rFonts w:ascii="Century Gothic" w:hAnsi="Century Gothic"/>
        </w:rPr>
        <w:t>répartition des budgets</w:t>
      </w:r>
      <w:r w:rsidR="00A53201" w:rsidRPr="000D1929">
        <w:rPr>
          <w:rFonts w:ascii="Century Gothic" w:hAnsi="Century Gothic"/>
        </w:rPr>
        <w:t xml:space="preserve"> spécifiquement dédié</w:t>
      </w:r>
      <w:r w:rsidR="00AC7719">
        <w:rPr>
          <w:rFonts w:ascii="Century Gothic" w:hAnsi="Century Gothic"/>
        </w:rPr>
        <w:t>s</w:t>
      </w:r>
      <w:r w:rsidR="00A53201" w:rsidRPr="000D1929">
        <w:rPr>
          <w:rFonts w:ascii="Century Gothic" w:hAnsi="Century Gothic"/>
        </w:rPr>
        <w:t xml:space="preserve"> à la recherche dans les techniques énergétiques.</w:t>
      </w:r>
    </w:p>
    <w:p w:rsidR="0068368E" w:rsidRPr="000D1929" w:rsidRDefault="0068368E" w:rsidP="00DB65F3">
      <w:pPr>
        <w:jc w:val="both"/>
        <w:rPr>
          <w:rFonts w:ascii="Century Gothic" w:hAnsi="Century Gothic"/>
        </w:rPr>
      </w:pPr>
      <w:r w:rsidRPr="000D1929">
        <w:rPr>
          <w:rFonts w:ascii="Century Gothic" w:hAnsi="Century Gothic"/>
        </w:rPr>
        <w:t xml:space="preserve">L’articulation avec les programmes de recherche européens se fait, d’une part, au Département des Programmes de Recherche de la DGO6 dont la Direction des Programmes fédéraux et internationaux gère des programmes cofinancés par l’Europe (ERA-NET, ERA-NET+,…). D’autre part, la promotion des appels « Horizon </w:t>
      </w:r>
      <w:r w:rsidRPr="000D1929">
        <w:rPr>
          <w:rFonts w:ascii="Century Gothic" w:hAnsi="Century Gothic"/>
        </w:rPr>
        <w:lastRenderedPageBreak/>
        <w:t>2020 » est assurée par le « National Contact Point » (NCP) pour la Wallonie dont la mission est assurée conventionnellement par l’Union wallonne des Entreprises.</w:t>
      </w:r>
    </w:p>
    <w:p w:rsidR="00A53201" w:rsidRPr="000D1929" w:rsidRDefault="00A53201" w:rsidP="00DB65F3">
      <w:pPr>
        <w:jc w:val="both"/>
        <w:rPr>
          <w:rFonts w:ascii="Century Gothic" w:hAnsi="Century Gothic"/>
        </w:rPr>
      </w:pPr>
      <w:r w:rsidRPr="000D1929">
        <w:rPr>
          <w:rFonts w:ascii="Century Gothic" w:hAnsi="Century Gothic"/>
        </w:rPr>
        <w:t xml:space="preserve">Annuellement, le budget alloué à des </w:t>
      </w:r>
      <w:r w:rsidR="00B0675C" w:rsidRPr="000D1929">
        <w:rPr>
          <w:rFonts w:ascii="Century Gothic" w:hAnsi="Century Gothic"/>
        </w:rPr>
        <w:t xml:space="preserve">programmes de </w:t>
      </w:r>
      <w:r w:rsidRPr="000D1929">
        <w:rPr>
          <w:rFonts w:ascii="Century Gothic" w:hAnsi="Century Gothic"/>
        </w:rPr>
        <w:t xml:space="preserve">cofinancement </w:t>
      </w:r>
      <w:r w:rsidR="00DA1859" w:rsidRPr="000D1929">
        <w:rPr>
          <w:rFonts w:ascii="Century Gothic" w:hAnsi="Century Gothic"/>
        </w:rPr>
        <w:t>européen</w:t>
      </w:r>
      <w:r w:rsidR="00B0675C" w:rsidRPr="000D1929">
        <w:rPr>
          <w:rFonts w:ascii="Century Gothic" w:hAnsi="Century Gothic"/>
        </w:rPr>
        <w:t xml:space="preserve"> est de +/-7 millions €. Ainsi, les ERA-NET « Smart </w:t>
      </w:r>
      <w:proofErr w:type="spellStart"/>
      <w:r w:rsidR="00B0675C" w:rsidRPr="000D1929">
        <w:rPr>
          <w:rFonts w:ascii="Century Gothic" w:hAnsi="Century Gothic"/>
        </w:rPr>
        <w:t>Grids</w:t>
      </w:r>
      <w:proofErr w:type="spellEnd"/>
      <w:r w:rsidR="00B0675C" w:rsidRPr="000D1929">
        <w:rPr>
          <w:rFonts w:ascii="Century Gothic" w:hAnsi="Century Gothic"/>
        </w:rPr>
        <w:t> », « </w:t>
      </w:r>
      <w:proofErr w:type="spellStart"/>
      <w:r w:rsidR="00B0675C" w:rsidRPr="000D1929">
        <w:rPr>
          <w:rFonts w:ascii="Century Gothic" w:hAnsi="Century Gothic"/>
        </w:rPr>
        <w:t>Solar</w:t>
      </w:r>
      <w:proofErr w:type="spellEnd"/>
      <w:r w:rsidR="00B0675C" w:rsidRPr="000D1929">
        <w:rPr>
          <w:rFonts w:ascii="Century Gothic" w:hAnsi="Century Gothic"/>
        </w:rPr>
        <w:t xml:space="preserve"> » et « Smart </w:t>
      </w:r>
      <w:proofErr w:type="spellStart"/>
      <w:r w:rsidR="00B0675C" w:rsidRPr="000D1929">
        <w:rPr>
          <w:rFonts w:ascii="Century Gothic" w:hAnsi="Century Gothic"/>
        </w:rPr>
        <w:t>Cities</w:t>
      </w:r>
      <w:proofErr w:type="spellEnd"/>
      <w:r w:rsidR="00B0675C" w:rsidRPr="000D1929">
        <w:rPr>
          <w:rFonts w:ascii="Century Gothic" w:hAnsi="Century Gothic"/>
        </w:rPr>
        <w:t xml:space="preserve"> » ont reçu le soutien de la Région wallonne via la DGO6. L’ERA-NET « NEWA » (New </w:t>
      </w:r>
      <w:proofErr w:type="spellStart"/>
      <w:r w:rsidR="00B0675C" w:rsidRPr="000D1929">
        <w:rPr>
          <w:rFonts w:ascii="Century Gothic" w:hAnsi="Century Gothic"/>
        </w:rPr>
        <w:t>european</w:t>
      </w:r>
      <w:proofErr w:type="spellEnd"/>
      <w:r w:rsidR="00B0675C" w:rsidRPr="000D1929">
        <w:rPr>
          <w:rFonts w:ascii="Century Gothic" w:hAnsi="Century Gothic"/>
        </w:rPr>
        <w:t xml:space="preserve"> Wind Atlas) est, par ailleurs, soutenu par la DGO4, Département de l’Energie et du Bâtiment durable.</w:t>
      </w:r>
    </w:p>
    <w:p w:rsidR="00B0675C" w:rsidRPr="000D1929" w:rsidRDefault="00B0675C" w:rsidP="00DB65F3">
      <w:pPr>
        <w:jc w:val="both"/>
        <w:rPr>
          <w:rFonts w:ascii="Century Gothic" w:hAnsi="Century Gothic"/>
        </w:rPr>
      </w:pPr>
      <w:r w:rsidRPr="000D1929">
        <w:rPr>
          <w:rFonts w:ascii="Century Gothic" w:hAnsi="Century Gothic"/>
          <w:u w:val="single"/>
        </w:rPr>
        <w:t>Au niveau européen</w:t>
      </w:r>
      <w:r w:rsidRPr="000D1929">
        <w:rPr>
          <w:rFonts w:ascii="Century Gothic" w:hAnsi="Century Gothic"/>
        </w:rPr>
        <w:t xml:space="preserve">, </w:t>
      </w:r>
      <w:r w:rsidR="00DB3146" w:rsidRPr="000D1929">
        <w:rPr>
          <w:rFonts w:ascii="Century Gothic" w:hAnsi="Century Gothic"/>
        </w:rPr>
        <w:t>le SET plan vise à garantir l’expertise européenne en matière de recherche et innovation dans le secteur de l’énergie</w:t>
      </w:r>
      <w:r w:rsidR="00D011DA" w:rsidRPr="000D1929">
        <w:rPr>
          <w:rFonts w:ascii="Century Gothic" w:hAnsi="Century Gothic"/>
        </w:rPr>
        <w:t xml:space="preserve"> tout en maintenant un haut niveau de compétitivité du secteur. A cet effet, le SET Plan est devenu le 5</w:t>
      </w:r>
      <w:r w:rsidR="00D011DA" w:rsidRPr="000D1929">
        <w:rPr>
          <w:rFonts w:ascii="Century Gothic" w:hAnsi="Century Gothic"/>
          <w:vertAlign w:val="superscript"/>
        </w:rPr>
        <w:t>ème</w:t>
      </w:r>
      <w:r w:rsidR="00D011DA" w:rsidRPr="000D1929">
        <w:rPr>
          <w:rFonts w:ascii="Century Gothic" w:hAnsi="Century Gothic"/>
        </w:rPr>
        <w:t xml:space="preserve"> pilier de </w:t>
      </w:r>
      <w:r w:rsidR="00593B69">
        <w:rPr>
          <w:rFonts w:ascii="Century Gothic" w:hAnsi="Century Gothic"/>
        </w:rPr>
        <w:t>l’Union de l’Energie</w:t>
      </w:r>
      <w:r w:rsidR="00D011DA" w:rsidRPr="000D1929">
        <w:rPr>
          <w:rFonts w:ascii="Century Gothic" w:hAnsi="Century Gothic"/>
        </w:rPr>
        <w:t xml:space="preserve"> et devra contribuer à pleinement atteindre les objectifs européens en 2030. </w:t>
      </w:r>
    </w:p>
    <w:p w:rsidR="00D011DA" w:rsidRPr="000D1929" w:rsidRDefault="00D011DA" w:rsidP="00DB65F3">
      <w:pPr>
        <w:jc w:val="both"/>
        <w:rPr>
          <w:rFonts w:ascii="Century Gothic" w:hAnsi="Century Gothic"/>
        </w:rPr>
      </w:pPr>
      <w:r w:rsidRPr="000D1929">
        <w:rPr>
          <w:rFonts w:ascii="Century Gothic" w:hAnsi="Century Gothic"/>
        </w:rPr>
        <w:t xml:space="preserve">A proprement parler, le SET Plan ne dispose pas de moyens financiers directs pour atteindre ses propres ambitions. Lors du Sommet du SET-Plan de Dublin (2013), </w:t>
      </w:r>
      <w:r w:rsidR="005E73C9" w:rsidRPr="000D1929">
        <w:rPr>
          <w:rFonts w:ascii="Century Gothic" w:hAnsi="Century Gothic"/>
        </w:rPr>
        <w:t xml:space="preserve">la Commission a spécifié que les moyens d’actions seraient assurés conjointement par le nouveau Programme Horizon 2020, les autres fonds européens existants ainsi que via les contributions nationales afin de permettre une meilleure coopération européenne de la recherche et une gestion plus efficace des moyens budgétaires </w:t>
      </w:r>
      <w:r w:rsidRPr="000D1929">
        <w:rPr>
          <w:rFonts w:ascii="Century Gothic" w:hAnsi="Century Gothic"/>
        </w:rPr>
        <w:t xml:space="preserve"> </w:t>
      </w:r>
      <w:r w:rsidR="005E73C9" w:rsidRPr="000D1929">
        <w:rPr>
          <w:rFonts w:ascii="Century Gothic" w:hAnsi="Century Gothic"/>
        </w:rPr>
        <w:t xml:space="preserve">disponibles. </w:t>
      </w:r>
    </w:p>
    <w:p w:rsidR="003E7087" w:rsidRPr="000D1929" w:rsidRDefault="003E7087" w:rsidP="00DB65F3">
      <w:pPr>
        <w:jc w:val="both"/>
        <w:rPr>
          <w:rFonts w:ascii="Century Gothic" w:hAnsi="Century Gothic"/>
        </w:rPr>
      </w:pPr>
      <w:r w:rsidRPr="000D1929">
        <w:rPr>
          <w:rFonts w:ascii="Century Gothic" w:hAnsi="Century Gothic"/>
        </w:rPr>
        <w:t xml:space="preserve">Plus spécifiquement, Horizon2020 finance actuellement des recherches de tous niveaux de maturité. La volonté est cependant bien d’approcher au plus près de la maturité technologique en travaillant en parallèle sur les aspects légaux, sociaux et sociétaux de la problématique, et ce, de manière intégrée. </w:t>
      </w:r>
    </w:p>
    <w:p w:rsidR="007615F6" w:rsidRDefault="007615F6" w:rsidP="00DB65F3">
      <w:pPr>
        <w:jc w:val="both"/>
        <w:rPr>
          <w:rFonts w:ascii="Century Gothic" w:hAnsi="Century Gothic"/>
        </w:rPr>
      </w:pPr>
      <w:r w:rsidRPr="000D1929">
        <w:rPr>
          <w:rFonts w:ascii="Century Gothic" w:hAnsi="Century Gothic"/>
        </w:rPr>
        <w:t>Afin d’atteindre les objectifs ambitieux de l’Europe et de créer une filière énergétique unique en Europe, la Commission a lancé une vaste réflexion avec le secteur sur les enjeux technologiques de chaque filière (voir supra). Actuellement, la phase opérationnelle a été initiée dans certaines initiatives et devrait se poursuivre en 2017 et en 2018. A terme, les feuilles de route technologiques précisant les efforts de recherche à consentir permettront de mieux orienter la recherche européenne.</w:t>
      </w:r>
    </w:p>
    <w:p w:rsidR="004928AD" w:rsidRDefault="004928AD">
      <w:pPr>
        <w:rPr>
          <w:rFonts w:ascii="Century Gothic" w:hAnsi="Century Gothic"/>
        </w:rPr>
      </w:pPr>
      <w:r>
        <w:rPr>
          <w:rFonts w:ascii="Century Gothic" w:hAnsi="Century Gothic"/>
        </w:rPr>
        <w:br w:type="page"/>
      </w:r>
    </w:p>
    <w:p w:rsidR="004928AD" w:rsidRPr="000D1929" w:rsidRDefault="004928AD" w:rsidP="00DB65F3">
      <w:pPr>
        <w:jc w:val="both"/>
        <w:rPr>
          <w:rFonts w:ascii="Century Gothic" w:hAnsi="Century Gothic"/>
          <w:lang w:val="fr-FR"/>
        </w:rPr>
      </w:pPr>
    </w:p>
    <w:p w:rsidR="0077675C" w:rsidRPr="00593B69" w:rsidRDefault="0077675C" w:rsidP="00593B69">
      <w:pPr>
        <w:pStyle w:val="Titre2"/>
        <w:numPr>
          <w:ilvl w:val="1"/>
          <w:numId w:val="11"/>
        </w:numPr>
      </w:pPr>
      <w:bookmarkStart w:id="5" w:name="_Toc475970800"/>
      <w:r w:rsidRPr="00593B69">
        <w:t>Mesures existantes</w:t>
      </w:r>
      <w:bookmarkEnd w:id="5"/>
    </w:p>
    <w:p w:rsidR="0077675C" w:rsidRPr="000D1929" w:rsidRDefault="0077675C" w:rsidP="0077675C">
      <w:pPr>
        <w:rPr>
          <w:rFonts w:ascii="Century Gothic" w:hAnsi="Century Gothic"/>
        </w:rPr>
      </w:pPr>
    </w:p>
    <w:p w:rsidR="0077675C" w:rsidRPr="000D1929" w:rsidRDefault="00485A87" w:rsidP="00DE5F8E">
      <w:pPr>
        <w:pStyle w:val="Paragraphedeliste"/>
        <w:numPr>
          <w:ilvl w:val="0"/>
          <w:numId w:val="4"/>
        </w:numPr>
        <w:jc w:val="both"/>
        <w:rPr>
          <w:rFonts w:ascii="Century Gothic" w:hAnsi="Century Gothic"/>
          <w:lang w:val="fr-FR"/>
        </w:rPr>
      </w:pPr>
      <w:r w:rsidRPr="00593B69">
        <w:rPr>
          <w:rFonts w:ascii="Century Gothic" w:hAnsi="Century Gothic"/>
          <w:b/>
          <w:lang w:val="fr-FR"/>
        </w:rPr>
        <w:t>Appels des Pôles de Compétitivité</w:t>
      </w:r>
      <w:r w:rsidR="00DE5F8E" w:rsidRPr="000D1929">
        <w:rPr>
          <w:rFonts w:ascii="Century Gothic" w:hAnsi="Century Gothic"/>
          <w:lang w:val="fr-FR"/>
        </w:rPr>
        <w:t>. Chaque année, les Pôles de compétitivité introduisent des appels à projets génériqu</w:t>
      </w:r>
      <w:r w:rsidR="00593B69">
        <w:rPr>
          <w:rFonts w:ascii="Century Gothic" w:hAnsi="Century Gothic"/>
          <w:lang w:val="fr-FR"/>
        </w:rPr>
        <w:t>es dans lesquels des projets lié</w:t>
      </w:r>
      <w:r w:rsidR="00DE5F8E" w:rsidRPr="000D1929">
        <w:rPr>
          <w:rFonts w:ascii="Century Gothic" w:hAnsi="Century Gothic"/>
          <w:lang w:val="fr-FR"/>
        </w:rPr>
        <w:t xml:space="preserve">s au secteur énergétique et /ou environnemental peuvent être introduits. Aucun budget provisionnel spécifique n’est associé à l’énergie. Les consortia éligibles doivent comprendre au moins deux partenaires académiques et deux partenaires industriels au moins (dont une PME) et les projets doivent mener à des solutions </w:t>
      </w:r>
      <w:r w:rsidR="00501A2B" w:rsidRPr="000D1929">
        <w:rPr>
          <w:rFonts w:ascii="Century Gothic" w:hAnsi="Century Gothic"/>
          <w:lang w:val="fr-FR"/>
        </w:rPr>
        <w:t>« proches du marché »</w:t>
      </w:r>
      <w:r w:rsidR="00DE5F8E" w:rsidRPr="000D1929">
        <w:rPr>
          <w:rFonts w:ascii="Century Gothic" w:hAnsi="Century Gothic"/>
          <w:lang w:val="fr-FR"/>
        </w:rPr>
        <w:t>.</w:t>
      </w:r>
    </w:p>
    <w:p w:rsidR="00DE5F8E" w:rsidRPr="000D1929" w:rsidRDefault="00DE5F8E" w:rsidP="00DE5F8E">
      <w:pPr>
        <w:pStyle w:val="Paragraphedeliste"/>
        <w:rPr>
          <w:rFonts w:ascii="Century Gothic" w:hAnsi="Century Gothic"/>
          <w:lang w:val="fr-FR"/>
        </w:rPr>
      </w:pPr>
    </w:p>
    <w:p w:rsidR="00DE5F8E" w:rsidRPr="000D1929" w:rsidRDefault="00BC4D7D" w:rsidP="00DE5F8E">
      <w:pPr>
        <w:pStyle w:val="Paragraphedeliste"/>
        <w:numPr>
          <w:ilvl w:val="0"/>
          <w:numId w:val="4"/>
        </w:numPr>
        <w:jc w:val="both"/>
        <w:rPr>
          <w:rFonts w:ascii="Century Gothic" w:hAnsi="Century Gothic"/>
          <w:lang w:val="fr-FR"/>
        </w:rPr>
      </w:pPr>
      <w:r w:rsidRPr="00593B69">
        <w:rPr>
          <w:rFonts w:ascii="Century Gothic" w:hAnsi="Century Gothic"/>
          <w:b/>
          <w:lang w:val="fr-FR"/>
        </w:rPr>
        <w:t>Appels DGO6</w:t>
      </w:r>
      <w:r w:rsidR="00593B69">
        <w:rPr>
          <w:rFonts w:ascii="Century Gothic" w:hAnsi="Century Gothic"/>
          <w:b/>
          <w:lang w:val="fr-FR"/>
        </w:rPr>
        <w:t>- Région wallonne</w:t>
      </w:r>
      <w:r w:rsidRPr="00593B69">
        <w:rPr>
          <w:rFonts w:ascii="Century Gothic" w:hAnsi="Century Gothic"/>
          <w:b/>
          <w:lang w:val="fr-FR"/>
        </w:rPr>
        <w:t>.</w:t>
      </w:r>
      <w:r w:rsidRPr="000D1929">
        <w:rPr>
          <w:rFonts w:ascii="Century Gothic" w:hAnsi="Century Gothic"/>
          <w:lang w:val="fr-FR"/>
        </w:rPr>
        <w:t xml:space="preserve"> E</w:t>
      </w:r>
      <w:r w:rsidR="00DE5F8E" w:rsidRPr="000D1929">
        <w:rPr>
          <w:rFonts w:ascii="Century Gothic" w:hAnsi="Century Gothic"/>
          <w:lang w:val="fr-FR"/>
        </w:rPr>
        <w:t>ncadrés par le Décret Recherche et ses arrêtés d’application, plusieurs types d’appels peuvent être lancés par le Département des Programmes de Recherche de la DGO6. Certains de ces appels sont thématiques, mais l’énergie et/ou l’environnement peuvent y être associés. En fonction de la portée de ces appels, les partenaires susceptibles d’être financés peuvent varier</w:t>
      </w:r>
      <w:r w:rsidRPr="000D1929">
        <w:rPr>
          <w:rFonts w:ascii="Century Gothic" w:hAnsi="Century Gothic"/>
          <w:lang w:val="fr-FR"/>
        </w:rPr>
        <w:t xml:space="preserve"> (Universités, Hautes-Ecoles, Centres de Recherche, Entreprises). Le niveau de maturité visé peut varier.</w:t>
      </w:r>
    </w:p>
    <w:p w:rsidR="00BC4D7D" w:rsidRPr="000D1929" w:rsidRDefault="00BC4D7D" w:rsidP="00BC4D7D">
      <w:pPr>
        <w:pStyle w:val="Paragraphedeliste"/>
        <w:rPr>
          <w:rFonts w:ascii="Century Gothic" w:hAnsi="Century Gothic"/>
          <w:lang w:val="fr-FR"/>
        </w:rPr>
      </w:pPr>
    </w:p>
    <w:p w:rsidR="00BC4D7D" w:rsidRPr="000D1929" w:rsidRDefault="00BC4D7D" w:rsidP="00593B69">
      <w:pPr>
        <w:pStyle w:val="Paragraphedeliste"/>
        <w:numPr>
          <w:ilvl w:val="1"/>
          <w:numId w:val="4"/>
        </w:numPr>
        <w:jc w:val="both"/>
        <w:rPr>
          <w:rFonts w:ascii="Century Gothic" w:hAnsi="Century Gothic"/>
          <w:lang w:val="fr-FR"/>
        </w:rPr>
      </w:pPr>
      <w:r w:rsidRPr="000D1929">
        <w:rPr>
          <w:rFonts w:ascii="Century Gothic" w:hAnsi="Century Gothic"/>
          <w:lang w:val="fr-FR"/>
        </w:rPr>
        <w:t>Le Département du Développement technologique</w:t>
      </w:r>
      <w:r w:rsidR="007232FA" w:rsidRPr="000D1929">
        <w:rPr>
          <w:rFonts w:ascii="Century Gothic" w:hAnsi="Century Gothic"/>
          <w:lang w:val="fr-FR"/>
        </w:rPr>
        <w:t xml:space="preserve"> </w:t>
      </w:r>
      <w:r w:rsidR="0059622F" w:rsidRPr="000D1929">
        <w:rPr>
          <w:rFonts w:ascii="Century Gothic" w:hAnsi="Century Gothic"/>
          <w:lang w:val="fr-FR"/>
        </w:rPr>
        <w:t xml:space="preserve">de la DGO6 </w:t>
      </w:r>
      <w:r w:rsidR="007232FA" w:rsidRPr="000D1929">
        <w:rPr>
          <w:rFonts w:ascii="Century Gothic" w:hAnsi="Century Gothic"/>
          <w:lang w:val="fr-FR"/>
        </w:rPr>
        <w:t xml:space="preserve">finance annuellement des </w:t>
      </w:r>
      <w:r w:rsidR="007232FA" w:rsidRPr="00593B69">
        <w:rPr>
          <w:rFonts w:ascii="Century Gothic" w:hAnsi="Century Gothic"/>
          <w:b/>
          <w:lang w:val="fr-FR"/>
        </w:rPr>
        <w:t xml:space="preserve">projets de </w:t>
      </w:r>
      <w:r w:rsidR="00CA60C7">
        <w:rPr>
          <w:rFonts w:ascii="Century Gothic" w:hAnsi="Century Gothic"/>
          <w:b/>
          <w:lang w:val="fr-FR"/>
        </w:rPr>
        <w:t xml:space="preserve">recherche industrielle et de </w:t>
      </w:r>
      <w:r w:rsidR="007232FA" w:rsidRPr="00593B69">
        <w:rPr>
          <w:rFonts w:ascii="Century Gothic" w:hAnsi="Century Gothic"/>
          <w:b/>
          <w:lang w:val="fr-FR"/>
        </w:rPr>
        <w:t>développement expérimental</w:t>
      </w:r>
      <w:r w:rsidR="007232FA" w:rsidRPr="000D1929">
        <w:rPr>
          <w:rFonts w:ascii="Century Gothic" w:hAnsi="Century Gothic"/>
          <w:lang w:val="fr-FR"/>
        </w:rPr>
        <w:t xml:space="preserve"> </w:t>
      </w:r>
      <w:r w:rsidR="00CA60C7" w:rsidRPr="00CA60C7">
        <w:rPr>
          <w:rFonts w:ascii="Century Gothic" w:hAnsi="Century Gothic"/>
          <w:lang w:val="fr-BE"/>
        </w:rPr>
        <w:t>en faveur des entreprises : aides guichet, appels à projets R&amp;D des Pôles de compétitivité, FIRST, mesure de R&amp;D dans le cadre des fonds structurels </w:t>
      </w:r>
      <w:r w:rsidR="00CA60C7">
        <w:rPr>
          <w:rFonts w:ascii="Century Gothic" w:hAnsi="Century Gothic"/>
          <w:lang w:val="fr-BE"/>
        </w:rPr>
        <w:t xml:space="preserve">et </w:t>
      </w:r>
      <w:r w:rsidR="00CA60C7" w:rsidRPr="00CA60C7">
        <w:rPr>
          <w:rFonts w:ascii="Century Gothic" w:hAnsi="Century Gothic"/>
          <w:lang w:val="fr-BE"/>
        </w:rPr>
        <w:t xml:space="preserve">participe avec les autres entités fédérées aux programmes industriels internationaux de recherche et développement (ESA, </w:t>
      </w:r>
      <w:proofErr w:type="spellStart"/>
      <w:r w:rsidR="00CA60C7" w:rsidRPr="00CA60C7">
        <w:rPr>
          <w:rFonts w:ascii="Century Gothic" w:hAnsi="Century Gothic"/>
          <w:lang w:val="fr-BE"/>
        </w:rPr>
        <w:t>Iter</w:t>
      </w:r>
      <w:proofErr w:type="spellEnd"/>
      <w:r w:rsidR="00CA60C7" w:rsidRPr="00CA60C7">
        <w:rPr>
          <w:rFonts w:ascii="Century Gothic" w:hAnsi="Century Gothic"/>
          <w:lang w:val="fr-BE"/>
        </w:rPr>
        <w:t>, …)</w:t>
      </w:r>
      <w:r w:rsidR="007232FA" w:rsidRPr="000D1929">
        <w:rPr>
          <w:rFonts w:ascii="Century Gothic" w:hAnsi="Century Gothic"/>
          <w:lang w:val="fr-FR"/>
        </w:rPr>
        <w:t xml:space="preserve">. </w:t>
      </w:r>
    </w:p>
    <w:p w:rsidR="0059622F" w:rsidRPr="000D1929" w:rsidRDefault="0059622F" w:rsidP="0059622F">
      <w:pPr>
        <w:pStyle w:val="Paragraphedeliste"/>
        <w:rPr>
          <w:rFonts w:ascii="Century Gothic" w:hAnsi="Century Gothic"/>
          <w:lang w:val="fr-FR"/>
        </w:rPr>
      </w:pPr>
    </w:p>
    <w:p w:rsidR="0059622F" w:rsidRPr="00CA60C7" w:rsidRDefault="0059622F" w:rsidP="00CA60C7">
      <w:pPr>
        <w:pStyle w:val="Paragraphedeliste"/>
        <w:numPr>
          <w:ilvl w:val="1"/>
          <w:numId w:val="4"/>
        </w:numPr>
        <w:jc w:val="both"/>
        <w:rPr>
          <w:rFonts w:ascii="Century Gothic" w:hAnsi="Century Gothic"/>
          <w:lang w:val="fr-FR"/>
        </w:rPr>
      </w:pPr>
      <w:r w:rsidRPr="00CA60C7">
        <w:rPr>
          <w:rFonts w:ascii="Century Gothic" w:hAnsi="Century Gothic"/>
          <w:lang w:val="fr-FR"/>
        </w:rPr>
        <w:t xml:space="preserve">Le Département des Programmes de Recherche de la DGO6 </w:t>
      </w:r>
      <w:r w:rsidR="00CA60C7" w:rsidRPr="00CA60C7">
        <w:rPr>
          <w:rFonts w:ascii="Century Gothic" w:hAnsi="Century Gothic"/>
          <w:lang w:val="fr-BE"/>
        </w:rPr>
        <w:t>élabore et organise les appels à projets relatifs aux programmes de recherche régionaux introduits par les universités, hautes</w:t>
      </w:r>
      <w:r w:rsidR="00CA60C7" w:rsidRPr="00810E24">
        <w:rPr>
          <w:rFonts w:ascii="Century Gothic" w:hAnsi="Century Gothic"/>
          <w:lang w:val="fr-BE"/>
        </w:rPr>
        <w:t xml:space="preserve"> écoles, centres de recherche agréés, ou entreprises wallonnes</w:t>
      </w:r>
      <w:r w:rsidR="00613BF8">
        <w:rPr>
          <w:rFonts w:ascii="Century Gothic" w:hAnsi="Century Gothic"/>
          <w:lang w:val="fr-BE"/>
        </w:rPr>
        <w:t> ; il agrée et finance les centres de recherche. D’autre part, il gère les programmes/projets de recherche fédéraux et internationaux et les projets cofinancés par les Fonds structurels européens ; il assure la représentation de la Région dans une série d’instance</w:t>
      </w:r>
      <w:r w:rsidR="00810E24">
        <w:rPr>
          <w:rFonts w:ascii="Century Gothic" w:hAnsi="Century Gothic"/>
          <w:lang w:val="fr-BE"/>
        </w:rPr>
        <w:t>s</w:t>
      </w:r>
      <w:r w:rsidR="00CA60C7" w:rsidRPr="00810E24">
        <w:rPr>
          <w:rFonts w:ascii="Century Gothic" w:hAnsi="Century Gothic"/>
          <w:lang w:val="fr-BE"/>
        </w:rPr>
        <w:t xml:space="preserve"> et de plateformes européennes, en matière de recherche et développement, et soutient l’intégration des acteurs économiques régionaux dans les réseaux européens</w:t>
      </w:r>
      <w:r w:rsidR="00CA60C7" w:rsidRPr="00AC7719">
        <w:rPr>
          <w:rFonts w:ascii="Century Gothic" w:hAnsi="Century Gothic"/>
          <w:lang w:val="fr-BE"/>
        </w:rPr>
        <w:t>.</w:t>
      </w:r>
      <w:r w:rsidR="00613BF8">
        <w:rPr>
          <w:rFonts w:ascii="Century Gothic" w:hAnsi="Century Gothic"/>
          <w:lang w:val="fr-BE"/>
        </w:rPr>
        <w:t xml:space="preserve"> Dans ce cadre, il </w:t>
      </w:r>
      <w:r w:rsidR="00613BF8">
        <w:rPr>
          <w:rFonts w:ascii="Century Gothic" w:hAnsi="Century Gothic"/>
          <w:lang w:val="fr-FR"/>
        </w:rPr>
        <w:t xml:space="preserve">cofinance des projets européens au travers </w:t>
      </w:r>
      <w:r w:rsidR="00613BF8">
        <w:rPr>
          <w:rFonts w:ascii="Century Gothic" w:hAnsi="Century Gothic"/>
          <w:b/>
          <w:lang w:val="fr-FR"/>
        </w:rPr>
        <w:t>d’ERA-NET et ERA-NET « </w:t>
      </w:r>
      <w:proofErr w:type="spellStart"/>
      <w:r w:rsidR="00613BF8">
        <w:rPr>
          <w:rFonts w:ascii="Century Gothic" w:hAnsi="Century Gothic"/>
          <w:b/>
          <w:lang w:val="fr-FR"/>
        </w:rPr>
        <w:t>cofund</w:t>
      </w:r>
      <w:proofErr w:type="spellEnd"/>
      <w:r w:rsidR="00613BF8">
        <w:rPr>
          <w:rFonts w:ascii="Century Gothic" w:hAnsi="Century Gothic"/>
          <w:lang w:val="fr-FR"/>
        </w:rPr>
        <w:t xml:space="preserve"> ». Ces programmes thématiques spécifiques sont approuvés au niveau des programmes de recherche menés sous le FP7 (Septième Programme-cadre de Recherche et Développement) et de Horizon 2020 </w:t>
      </w:r>
      <w:r w:rsidR="00CA60C7">
        <w:rPr>
          <w:rFonts w:ascii="Century Gothic" w:hAnsi="Century Gothic"/>
          <w:lang w:val="fr-FR"/>
        </w:rPr>
        <w:t xml:space="preserve">tandis que </w:t>
      </w:r>
      <w:r w:rsidR="0059043B" w:rsidRPr="00CA60C7">
        <w:rPr>
          <w:rFonts w:ascii="Century Gothic" w:hAnsi="Century Gothic"/>
          <w:lang w:val="fr-FR"/>
        </w:rPr>
        <w:t xml:space="preserve">l’organisation des appels </w:t>
      </w:r>
      <w:r w:rsidR="00CA60C7">
        <w:rPr>
          <w:rFonts w:ascii="Century Gothic" w:hAnsi="Century Gothic"/>
          <w:lang w:val="fr-FR"/>
        </w:rPr>
        <w:t xml:space="preserve">est </w:t>
      </w:r>
      <w:r w:rsidR="0059043B" w:rsidRPr="00CA60C7">
        <w:rPr>
          <w:rFonts w:ascii="Century Gothic" w:hAnsi="Century Gothic"/>
          <w:lang w:val="fr-FR"/>
        </w:rPr>
        <w:t xml:space="preserve">assurée par les Etats-Membres </w:t>
      </w:r>
      <w:r w:rsidR="00CA60C7">
        <w:rPr>
          <w:rFonts w:ascii="Century Gothic" w:hAnsi="Century Gothic"/>
          <w:lang w:val="fr-FR"/>
        </w:rPr>
        <w:t>participant aux</w:t>
      </w:r>
      <w:r w:rsidR="0059043B" w:rsidRPr="00CA60C7">
        <w:rPr>
          <w:rFonts w:ascii="Century Gothic" w:hAnsi="Century Gothic"/>
          <w:lang w:val="fr-FR"/>
        </w:rPr>
        <w:t xml:space="preserve">  ERA-</w:t>
      </w:r>
      <w:proofErr w:type="spellStart"/>
      <w:r w:rsidR="0059043B" w:rsidRPr="00CA60C7">
        <w:rPr>
          <w:rFonts w:ascii="Century Gothic" w:hAnsi="Century Gothic"/>
          <w:lang w:val="fr-FR"/>
        </w:rPr>
        <w:t>NETs</w:t>
      </w:r>
      <w:proofErr w:type="spellEnd"/>
      <w:r w:rsidR="0059043B" w:rsidRPr="00CA60C7">
        <w:rPr>
          <w:rFonts w:ascii="Century Gothic" w:hAnsi="Century Gothic"/>
          <w:lang w:val="fr-FR"/>
        </w:rPr>
        <w:t>. Actuellement, trois ERA-</w:t>
      </w:r>
      <w:proofErr w:type="spellStart"/>
      <w:r w:rsidR="0059043B" w:rsidRPr="00CA60C7">
        <w:rPr>
          <w:rFonts w:ascii="Century Gothic" w:hAnsi="Century Gothic"/>
          <w:lang w:val="fr-FR"/>
        </w:rPr>
        <w:t>NETs</w:t>
      </w:r>
      <w:proofErr w:type="spellEnd"/>
      <w:r w:rsidR="0059043B" w:rsidRPr="00CA60C7">
        <w:rPr>
          <w:rFonts w:ascii="Century Gothic" w:hAnsi="Century Gothic"/>
          <w:lang w:val="fr-FR"/>
        </w:rPr>
        <w:t xml:space="preserve"> en </w:t>
      </w:r>
      <w:r w:rsidR="0059043B" w:rsidRPr="00CA60C7">
        <w:rPr>
          <w:rFonts w:ascii="Century Gothic" w:hAnsi="Century Gothic"/>
          <w:lang w:val="fr-FR"/>
        </w:rPr>
        <w:lastRenderedPageBreak/>
        <w:t xml:space="preserve">lien avec le secteur énergétique sont soutenus par la DGO6 (Smart </w:t>
      </w:r>
      <w:proofErr w:type="spellStart"/>
      <w:r w:rsidR="0059043B" w:rsidRPr="00CA60C7">
        <w:rPr>
          <w:rFonts w:ascii="Century Gothic" w:hAnsi="Century Gothic"/>
          <w:lang w:val="fr-FR"/>
        </w:rPr>
        <w:t>Grids</w:t>
      </w:r>
      <w:proofErr w:type="spellEnd"/>
      <w:r w:rsidR="0059043B" w:rsidRPr="00CA60C7">
        <w:rPr>
          <w:rFonts w:ascii="Century Gothic" w:hAnsi="Century Gothic"/>
          <w:lang w:val="fr-FR"/>
        </w:rPr>
        <w:t xml:space="preserve">, </w:t>
      </w:r>
      <w:proofErr w:type="spellStart"/>
      <w:r w:rsidR="0059043B" w:rsidRPr="00CA60C7">
        <w:rPr>
          <w:rFonts w:ascii="Century Gothic" w:hAnsi="Century Gothic"/>
          <w:lang w:val="fr-FR"/>
        </w:rPr>
        <w:t>Solar</w:t>
      </w:r>
      <w:proofErr w:type="spellEnd"/>
      <w:r w:rsidR="0059043B" w:rsidRPr="00CA60C7">
        <w:rPr>
          <w:rFonts w:ascii="Century Gothic" w:hAnsi="Century Gothic"/>
          <w:lang w:val="fr-FR"/>
        </w:rPr>
        <w:t xml:space="preserve"> et Smart </w:t>
      </w:r>
      <w:proofErr w:type="spellStart"/>
      <w:r w:rsidR="0059043B" w:rsidRPr="00CA60C7">
        <w:rPr>
          <w:rFonts w:ascii="Century Gothic" w:hAnsi="Century Gothic"/>
          <w:lang w:val="fr-FR"/>
        </w:rPr>
        <w:t>Cities</w:t>
      </w:r>
      <w:proofErr w:type="spellEnd"/>
      <w:r w:rsidR="0059043B" w:rsidRPr="00CA60C7">
        <w:rPr>
          <w:rFonts w:ascii="Century Gothic" w:hAnsi="Century Gothic"/>
          <w:lang w:val="fr-FR"/>
        </w:rPr>
        <w:t>) et un par la DGO4 (NEWA).</w:t>
      </w:r>
    </w:p>
    <w:p w:rsidR="0059043B" w:rsidRPr="000D1929" w:rsidRDefault="0059043B" w:rsidP="0059043B">
      <w:pPr>
        <w:pStyle w:val="Paragraphedeliste"/>
        <w:rPr>
          <w:rFonts w:ascii="Century Gothic" w:hAnsi="Century Gothic"/>
          <w:lang w:val="fr-FR"/>
        </w:rPr>
      </w:pPr>
    </w:p>
    <w:p w:rsidR="0059043B" w:rsidRPr="000D1929" w:rsidRDefault="0085050B" w:rsidP="00DE5F8E">
      <w:pPr>
        <w:pStyle w:val="Paragraphedeliste"/>
        <w:numPr>
          <w:ilvl w:val="0"/>
          <w:numId w:val="4"/>
        </w:numPr>
        <w:jc w:val="both"/>
        <w:rPr>
          <w:rFonts w:ascii="Century Gothic" w:hAnsi="Century Gothic"/>
          <w:lang w:val="fr-FR"/>
        </w:rPr>
      </w:pPr>
      <w:r w:rsidRPr="000D1929">
        <w:rPr>
          <w:rFonts w:ascii="Century Gothic" w:hAnsi="Century Gothic"/>
          <w:lang w:val="fr-FR"/>
        </w:rPr>
        <w:t xml:space="preserve">Au niveau européen, la recherche est encadrée essentiellement au travers des appels menés sous </w:t>
      </w:r>
      <w:r w:rsidRPr="00593B69">
        <w:rPr>
          <w:rFonts w:ascii="Century Gothic" w:hAnsi="Century Gothic"/>
          <w:b/>
          <w:lang w:val="fr-FR"/>
        </w:rPr>
        <w:t>Horizon 2020</w:t>
      </w:r>
      <w:r w:rsidRPr="000D1929">
        <w:rPr>
          <w:rFonts w:ascii="Century Gothic" w:hAnsi="Century Gothic"/>
          <w:lang w:val="fr-FR"/>
        </w:rPr>
        <w:t xml:space="preserve"> (en ce compris les appels menés sous couvert du Fuel-</w:t>
      </w:r>
      <w:proofErr w:type="spellStart"/>
      <w:r w:rsidRPr="000D1929">
        <w:rPr>
          <w:rFonts w:ascii="Century Gothic" w:hAnsi="Century Gothic"/>
          <w:lang w:val="fr-FR"/>
        </w:rPr>
        <w:t>Cell</w:t>
      </w:r>
      <w:proofErr w:type="spellEnd"/>
      <w:r w:rsidRPr="000D1929">
        <w:rPr>
          <w:rFonts w:ascii="Century Gothic" w:hAnsi="Century Gothic"/>
          <w:lang w:val="fr-FR"/>
        </w:rPr>
        <w:t xml:space="preserve"> and </w:t>
      </w:r>
      <w:proofErr w:type="spellStart"/>
      <w:r w:rsidRPr="000D1929">
        <w:rPr>
          <w:rFonts w:ascii="Century Gothic" w:hAnsi="Century Gothic"/>
          <w:lang w:val="fr-FR"/>
        </w:rPr>
        <w:t>Hydrogen</w:t>
      </w:r>
      <w:proofErr w:type="spellEnd"/>
      <w:r w:rsidRPr="000D1929">
        <w:rPr>
          <w:rFonts w:ascii="Century Gothic" w:hAnsi="Century Gothic"/>
          <w:lang w:val="fr-FR"/>
        </w:rPr>
        <w:t xml:space="preserve"> Joint </w:t>
      </w:r>
      <w:proofErr w:type="spellStart"/>
      <w:r w:rsidRPr="000D1929">
        <w:rPr>
          <w:rFonts w:ascii="Century Gothic" w:hAnsi="Century Gothic"/>
          <w:lang w:val="fr-FR"/>
        </w:rPr>
        <w:t>Undertaking</w:t>
      </w:r>
      <w:proofErr w:type="spellEnd"/>
      <w:r w:rsidRPr="000D1929">
        <w:rPr>
          <w:rFonts w:ascii="Century Gothic" w:hAnsi="Century Gothic"/>
          <w:lang w:val="fr-FR"/>
        </w:rPr>
        <w:t xml:space="preserve"> pour ce qui est de l’hydrogène et des technologies y liées).</w:t>
      </w:r>
      <w:r w:rsidR="005638EE" w:rsidRPr="000D1929">
        <w:rPr>
          <w:rFonts w:ascii="Century Gothic" w:hAnsi="Century Gothic"/>
          <w:lang w:val="fr-FR"/>
        </w:rPr>
        <w:t xml:space="preserve"> Ces appels, pluridisciplinaires touchent tous les aspects du </w:t>
      </w:r>
      <w:r w:rsidR="00D91759" w:rsidRPr="000D1929">
        <w:rPr>
          <w:rFonts w:ascii="Century Gothic" w:hAnsi="Century Gothic"/>
          <w:lang w:val="fr-FR"/>
        </w:rPr>
        <w:t>domaine énergétique (au travers des appels LCE pour l’énergie et EE pour l’efficacité énergétique repris dans « Secure, Clean and Efficient Energy) et peuvent avoir des extensions dans d’autres types de thématiques (matériaux, environnement, TIC, transport,…). Une certaine cohérence dans les interactions entre les différents appels d’Horizon 2020 est assurée par la Commission et sera renforcée à l’avenir avec l’introduction de l’Union énergétique.</w:t>
      </w:r>
    </w:p>
    <w:p w:rsidR="007A11E8" w:rsidRPr="000D1929" w:rsidRDefault="007A11E8" w:rsidP="007A11E8">
      <w:pPr>
        <w:pStyle w:val="Paragraphedeliste"/>
        <w:rPr>
          <w:rFonts w:ascii="Century Gothic" w:hAnsi="Century Gothic"/>
          <w:lang w:val="fr-FR"/>
        </w:rPr>
      </w:pPr>
    </w:p>
    <w:p w:rsidR="007A11E8" w:rsidRPr="000D1929" w:rsidRDefault="007A11E8" w:rsidP="00DE5F8E">
      <w:pPr>
        <w:pStyle w:val="Paragraphedeliste"/>
        <w:numPr>
          <w:ilvl w:val="0"/>
          <w:numId w:val="4"/>
        </w:numPr>
        <w:jc w:val="both"/>
        <w:rPr>
          <w:rFonts w:ascii="Century Gothic" w:hAnsi="Century Gothic"/>
          <w:lang w:val="fr-FR"/>
        </w:rPr>
      </w:pPr>
      <w:r w:rsidRPr="000D1929">
        <w:rPr>
          <w:rFonts w:ascii="Century Gothic" w:hAnsi="Century Gothic"/>
          <w:lang w:val="fr-FR"/>
        </w:rPr>
        <w:t xml:space="preserve">Plusieurs </w:t>
      </w:r>
      <w:r w:rsidRPr="00564F27">
        <w:rPr>
          <w:rFonts w:ascii="Century Gothic" w:hAnsi="Century Gothic"/>
          <w:b/>
          <w:lang w:val="fr-FR"/>
        </w:rPr>
        <w:t>autres sources de financement</w:t>
      </w:r>
      <w:r w:rsidRPr="000D1929">
        <w:rPr>
          <w:rFonts w:ascii="Century Gothic" w:hAnsi="Century Gothic"/>
          <w:lang w:val="fr-FR"/>
        </w:rPr>
        <w:t xml:space="preserve"> ou de cofinancement en rapport direct et indirect avec l’énergie et/ou l’environnement existent. Citons, par exemple : les fonds structurels (ESI), le NER300, les appels CEF (</w:t>
      </w:r>
      <w:proofErr w:type="spellStart"/>
      <w:r w:rsidRPr="000D1929">
        <w:rPr>
          <w:rFonts w:ascii="Century Gothic" w:hAnsi="Century Gothic"/>
          <w:lang w:val="fr-FR"/>
        </w:rPr>
        <w:t>Connecting</w:t>
      </w:r>
      <w:proofErr w:type="spellEnd"/>
      <w:r w:rsidRPr="000D1929">
        <w:rPr>
          <w:rFonts w:ascii="Century Gothic" w:hAnsi="Century Gothic"/>
          <w:lang w:val="fr-FR"/>
        </w:rPr>
        <w:t xml:space="preserve"> </w:t>
      </w:r>
      <w:proofErr w:type="spellStart"/>
      <w:r w:rsidRPr="000D1929">
        <w:rPr>
          <w:rFonts w:ascii="Century Gothic" w:hAnsi="Century Gothic"/>
          <w:lang w:val="fr-FR"/>
        </w:rPr>
        <w:t>european</w:t>
      </w:r>
      <w:proofErr w:type="spellEnd"/>
      <w:r w:rsidRPr="000D1929">
        <w:rPr>
          <w:rFonts w:ascii="Century Gothic" w:hAnsi="Century Gothic"/>
          <w:lang w:val="fr-FR"/>
        </w:rPr>
        <w:t xml:space="preserve"> </w:t>
      </w:r>
      <w:proofErr w:type="spellStart"/>
      <w:r w:rsidRPr="000D1929">
        <w:rPr>
          <w:rFonts w:ascii="Century Gothic" w:hAnsi="Century Gothic"/>
          <w:lang w:val="fr-FR"/>
        </w:rPr>
        <w:t>facilities</w:t>
      </w:r>
      <w:proofErr w:type="spellEnd"/>
      <w:r w:rsidRPr="000D1929">
        <w:rPr>
          <w:rFonts w:ascii="Century Gothic" w:hAnsi="Century Gothic"/>
          <w:lang w:val="fr-FR"/>
        </w:rPr>
        <w:t>) transport</w:t>
      </w:r>
      <w:r w:rsidR="002405EA" w:rsidRPr="000D1929">
        <w:rPr>
          <w:rFonts w:ascii="Century Gothic" w:hAnsi="Century Gothic"/>
          <w:lang w:val="fr-FR"/>
        </w:rPr>
        <w:t>s</w:t>
      </w:r>
      <w:r w:rsidRPr="000D1929">
        <w:rPr>
          <w:rFonts w:ascii="Century Gothic" w:hAnsi="Century Gothic"/>
          <w:lang w:val="fr-FR"/>
        </w:rPr>
        <w:t xml:space="preserve"> et réseaux du Réseau </w:t>
      </w:r>
      <w:proofErr w:type="spellStart"/>
      <w:r w:rsidRPr="000D1929">
        <w:rPr>
          <w:rFonts w:ascii="Century Gothic" w:hAnsi="Century Gothic"/>
          <w:lang w:val="fr-FR"/>
        </w:rPr>
        <w:t>trans-européen</w:t>
      </w:r>
      <w:proofErr w:type="spellEnd"/>
      <w:r w:rsidRPr="000D1929">
        <w:rPr>
          <w:rFonts w:ascii="Century Gothic" w:hAnsi="Century Gothic"/>
          <w:lang w:val="fr-FR"/>
        </w:rPr>
        <w:t xml:space="preserve"> de transport,…</w:t>
      </w:r>
    </w:p>
    <w:p w:rsidR="005774F8" w:rsidRPr="000D1929" w:rsidRDefault="005774F8" w:rsidP="005774F8">
      <w:pPr>
        <w:pStyle w:val="Paragraphedeliste"/>
        <w:rPr>
          <w:rFonts w:ascii="Century Gothic" w:hAnsi="Century Gothic"/>
          <w:lang w:val="fr-FR"/>
        </w:rPr>
      </w:pPr>
    </w:p>
    <w:p w:rsidR="0059622F" w:rsidRPr="000D1929" w:rsidRDefault="00564F27" w:rsidP="0059622F">
      <w:pPr>
        <w:pStyle w:val="Paragraphedeliste"/>
        <w:numPr>
          <w:ilvl w:val="0"/>
          <w:numId w:val="4"/>
        </w:numPr>
        <w:jc w:val="both"/>
        <w:rPr>
          <w:rFonts w:ascii="Century Gothic" w:hAnsi="Century Gothic"/>
          <w:lang w:val="fr-FR"/>
        </w:rPr>
      </w:pPr>
      <w:r w:rsidRPr="00564F27">
        <w:rPr>
          <w:rFonts w:ascii="Century Gothic" w:hAnsi="Century Gothic"/>
          <w:b/>
          <w:lang w:val="fr-FR"/>
        </w:rPr>
        <w:t>Appel</w:t>
      </w:r>
      <w:r>
        <w:rPr>
          <w:rFonts w:ascii="Century Gothic" w:hAnsi="Century Gothic"/>
          <w:b/>
          <w:lang w:val="fr-FR"/>
        </w:rPr>
        <w:t>s</w:t>
      </w:r>
      <w:r w:rsidRPr="00564F27">
        <w:rPr>
          <w:rFonts w:ascii="Century Gothic" w:hAnsi="Century Gothic"/>
          <w:b/>
          <w:lang w:val="fr-FR"/>
        </w:rPr>
        <w:t xml:space="preserve"> DGO4 –Région wallonne</w:t>
      </w:r>
      <w:r>
        <w:rPr>
          <w:rFonts w:ascii="Century Gothic" w:hAnsi="Century Gothic"/>
          <w:lang w:val="fr-FR"/>
        </w:rPr>
        <w:t xml:space="preserve">. </w:t>
      </w:r>
      <w:r w:rsidR="005774F8" w:rsidRPr="000D1929">
        <w:rPr>
          <w:rFonts w:ascii="Century Gothic" w:hAnsi="Century Gothic"/>
          <w:lang w:val="fr-FR"/>
        </w:rPr>
        <w:t>La DGO4, Département de l’Energie et du Bâtiment durable a financé</w:t>
      </w:r>
      <w:r w:rsidR="0059622F" w:rsidRPr="000D1929">
        <w:rPr>
          <w:rFonts w:ascii="Century Gothic" w:hAnsi="Century Gothic"/>
          <w:lang w:val="fr-FR"/>
        </w:rPr>
        <w:t>, en 2015 et 2016,</w:t>
      </w:r>
      <w:r w:rsidR="005774F8" w:rsidRPr="000D1929">
        <w:rPr>
          <w:rFonts w:ascii="Century Gothic" w:hAnsi="Century Gothic"/>
          <w:lang w:val="fr-FR"/>
        </w:rPr>
        <w:t xml:space="preserve"> des projets de recherche transversaux </w:t>
      </w:r>
      <w:r w:rsidR="0059622F" w:rsidRPr="000D1929">
        <w:rPr>
          <w:rFonts w:ascii="Century Gothic" w:hAnsi="Century Gothic"/>
          <w:lang w:val="fr-FR"/>
        </w:rPr>
        <w:t>dans les domaines énergétiques sur base d</w:t>
      </w:r>
      <w:r w:rsidR="00810E24">
        <w:rPr>
          <w:rFonts w:ascii="Century Gothic" w:hAnsi="Century Gothic"/>
          <w:lang w:val="fr-FR"/>
        </w:rPr>
        <w:t>e</w:t>
      </w:r>
      <w:r w:rsidR="0059622F" w:rsidRPr="000D1929">
        <w:rPr>
          <w:rFonts w:ascii="Century Gothic" w:hAnsi="Century Gothic"/>
          <w:lang w:val="fr-FR"/>
        </w:rPr>
        <w:t xml:space="preserve"> sollicitation</w:t>
      </w:r>
      <w:r w:rsidR="00810E24">
        <w:rPr>
          <w:rFonts w:ascii="Century Gothic" w:hAnsi="Century Gothic"/>
          <w:lang w:val="fr-FR"/>
        </w:rPr>
        <w:t>s</w:t>
      </w:r>
      <w:r w:rsidR="0059622F" w:rsidRPr="000D1929">
        <w:rPr>
          <w:rFonts w:ascii="Century Gothic" w:hAnsi="Century Gothic"/>
          <w:lang w:val="fr-FR"/>
        </w:rPr>
        <w:t xml:space="preserve"> ouverte</w:t>
      </w:r>
      <w:r w:rsidR="00810E24">
        <w:rPr>
          <w:rFonts w:ascii="Century Gothic" w:hAnsi="Century Gothic"/>
          <w:lang w:val="fr-FR"/>
        </w:rPr>
        <w:t>s</w:t>
      </w:r>
      <w:r w:rsidR="0059622F" w:rsidRPr="000D1929">
        <w:rPr>
          <w:rFonts w:ascii="Century Gothic" w:hAnsi="Century Gothic"/>
          <w:lang w:val="fr-FR"/>
        </w:rPr>
        <w:t xml:space="preserve"> à tous les types d’acteurs.</w:t>
      </w:r>
    </w:p>
    <w:p w:rsidR="004928AD" w:rsidRDefault="004928AD">
      <w:pPr>
        <w:rPr>
          <w:rFonts w:ascii="Century Gothic" w:hAnsi="Century Gothic"/>
          <w:lang w:val="fr-FR"/>
        </w:rPr>
      </w:pPr>
      <w:r>
        <w:rPr>
          <w:rFonts w:ascii="Century Gothic" w:hAnsi="Century Gothic"/>
          <w:lang w:val="fr-FR"/>
        </w:rPr>
        <w:br w:type="page"/>
      </w:r>
    </w:p>
    <w:p w:rsidR="0059622F" w:rsidRPr="000D1929" w:rsidRDefault="0059622F" w:rsidP="0059622F">
      <w:pPr>
        <w:pStyle w:val="Paragraphedeliste"/>
        <w:rPr>
          <w:rFonts w:ascii="Century Gothic" w:hAnsi="Century Gothic"/>
          <w:lang w:val="fr-FR"/>
        </w:rPr>
      </w:pPr>
    </w:p>
    <w:p w:rsidR="0077675C" w:rsidRPr="00564F27" w:rsidRDefault="0077675C" w:rsidP="00564F27">
      <w:pPr>
        <w:pStyle w:val="Titre2"/>
        <w:numPr>
          <w:ilvl w:val="1"/>
          <w:numId w:val="11"/>
        </w:numPr>
      </w:pPr>
      <w:bookmarkStart w:id="6" w:name="_Toc475970801"/>
      <w:r w:rsidRPr="00564F27">
        <w:t>Chiffres clés</w:t>
      </w:r>
      <w:bookmarkEnd w:id="6"/>
    </w:p>
    <w:p w:rsidR="00DE37D1" w:rsidRPr="000D1929" w:rsidRDefault="00DE37D1" w:rsidP="00DE37D1">
      <w:pPr>
        <w:ind w:left="360"/>
        <w:jc w:val="both"/>
        <w:rPr>
          <w:rFonts w:ascii="Century Gothic" w:hAnsi="Century Gothic"/>
        </w:rPr>
      </w:pPr>
    </w:p>
    <w:p w:rsidR="00DE37D1" w:rsidRPr="000D1929" w:rsidRDefault="00DE37D1" w:rsidP="00DE37D1">
      <w:pPr>
        <w:ind w:left="360"/>
        <w:jc w:val="both"/>
        <w:rPr>
          <w:rFonts w:ascii="Century Gothic" w:hAnsi="Century Gothic"/>
          <w:lang w:val="fr-FR"/>
        </w:rPr>
      </w:pPr>
      <w:r w:rsidRPr="000D1929">
        <w:rPr>
          <w:rFonts w:ascii="Century Gothic" w:hAnsi="Century Gothic"/>
          <w:lang w:val="fr-FR"/>
        </w:rPr>
        <w:t>Les investissements wallons consentis depuis 1999 se répartissent comme suit</w:t>
      </w:r>
      <w:r w:rsidR="00564F27">
        <w:rPr>
          <w:rStyle w:val="Appelnotedebasdep"/>
          <w:rFonts w:ascii="Century Gothic" w:hAnsi="Century Gothic"/>
          <w:lang w:val="fr-FR"/>
        </w:rPr>
        <w:footnoteReference w:id="2"/>
      </w:r>
      <w:r w:rsidRPr="000D1929">
        <w:rPr>
          <w:rFonts w:ascii="Century Gothic" w:hAnsi="Century Gothic"/>
          <w:lang w:val="fr-FR"/>
        </w:rPr>
        <w:t> :</w:t>
      </w:r>
    </w:p>
    <w:p w:rsidR="00DE37D1" w:rsidRPr="00564F27" w:rsidRDefault="00DE37D1" w:rsidP="00DE37D1">
      <w:pPr>
        <w:pStyle w:val="Paragraphedeliste"/>
        <w:jc w:val="both"/>
        <w:rPr>
          <w:rFonts w:ascii="Century Gothic" w:hAnsi="Century Gothic"/>
          <w:lang w:val="fr-FR"/>
        </w:rPr>
      </w:pPr>
    </w:p>
    <w:p w:rsidR="00DE37D1" w:rsidRPr="000D1929" w:rsidRDefault="00DE37D1" w:rsidP="00DE37D1">
      <w:pPr>
        <w:pStyle w:val="Paragraphedeliste"/>
        <w:jc w:val="both"/>
        <w:rPr>
          <w:rFonts w:ascii="Century Gothic" w:hAnsi="Century Gothic"/>
        </w:rPr>
      </w:pPr>
      <w:r w:rsidRPr="000D1929">
        <w:rPr>
          <w:rFonts w:ascii="Century Gothic" w:hAnsi="Century Gothic"/>
          <w:noProof/>
          <w:lang w:val="fr-BE" w:eastAsia="fr-BE"/>
        </w:rPr>
        <w:drawing>
          <wp:inline distT="0" distB="0" distL="0" distR="0">
            <wp:extent cx="5760720" cy="3790950"/>
            <wp:effectExtent l="19050" t="0" r="1143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37D1" w:rsidRPr="000D1929" w:rsidRDefault="00DE37D1" w:rsidP="00DE37D1">
      <w:pPr>
        <w:jc w:val="both"/>
        <w:rPr>
          <w:rFonts w:ascii="Century Gothic" w:hAnsi="Century Gothic"/>
          <w:lang w:val="fr-FR"/>
        </w:rPr>
      </w:pPr>
      <w:r w:rsidRPr="000D1929">
        <w:rPr>
          <w:rFonts w:ascii="Century Gothic" w:hAnsi="Century Gothic"/>
          <w:lang w:val="fr-FR"/>
        </w:rPr>
        <w:t>Plus spécifiquement, pour les seules énergies renouvelables, la recherche se découpe comme suit :</w:t>
      </w:r>
    </w:p>
    <w:p w:rsidR="00DE37D1" w:rsidRPr="000D1929" w:rsidRDefault="00DE37D1" w:rsidP="00DE37D1">
      <w:pPr>
        <w:pStyle w:val="Paragraphedeliste"/>
        <w:jc w:val="both"/>
        <w:rPr>
          <w:rFonts w:ascii="Century Gothic" w:hAnsi="Century Gothic"/>
        </w:rPr>
      </w:pPr>
      <w:r w:rsidRPr="000D1929">
        <w:rPr>
          <w:rFonts w:ascii="Century Gothic" w:hAnsi="Century Gothic"/>
          <w:noProof/>
          <w:lang w:val="fr-BE" w:eastAsia="fr-BE"/>
        </w:rPr>
        <w:lastRenderedPageBreak/>
        <w:drawing>
          <wp:inline distT="0" distB="0" distL="0" distR="0">
            <wp:extent cx="5760720" cy="3558344"/>
            <wp:effectExtent l="19050" t="0" r="11430" b="4006"/>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37D1" w:rsidRPr="000D1929" w:rsidRDefault="00B56C50" w:rsidP="00DE37D1">
      <w:pPr>
        <w:jc w:val="both"/>
        <w:rPr>
          <w:rFonts w:ascii="Century Gothic" w:hAnsi="Century Gothic"/>
        </w:rPr>
      </w:pPr>
      <w:r w:rsidRPr="000D1929">
        <w:rPr>
          <w:rFonts w:ascii="Century Gothic" w:hAnsi="Century Gothic"/>
        </w:rPr>
        <w:t>Pour la première période de programmation d’Horizon 2020, 11 projets reprenant des acteurs wallons ont été financés</w:t>
      </w:r>
      <w:r w:rsidR="00161D9E" w:rsidRPr="000D1929">
        <w:rPr>
          <w:rFonts w:ascii="Century Gothic" w:hAnsi="Century Gothic"/>
        </w:rPr>
        <w:t xml:space="preserve"> (environ 4,5 millions € de financement européen), tandis que trois projets ont été sélectionnés sous couvert de l’ERA-NET « Solar » (pour 420.000€ de financement global).</w:t>
      </w:r>
    </w:p>
    <w:p w:rsidR="0077675C" w:rsidRPr="000D1929" w:rsidRDefault="0077675C" w:rsidP="00472F17">
      <w:pPr>
        <w:pStyle w:val="Titre2"/>
        <w:rPr>
          <w:rFonts w:ascii="Century Gothic" w:hAnsi="Century Gothic"/>
          <w:sz w:val="22"/>
          <w:szCs w:val="22"/>
        </w:rPr>
      </w:pPr>
    </w:p>
    <w:p w:rsidR="0077675C" w:rsidRPr="000D1929" w:rsidRDefault="0077675C">
      <w:pPr>
        <w:rPr>
          <w:rFonts w:ascii="Century Gothic" w:eastAsiaTheme="majorEastAsia" w:hAnsi="Century Gothic" w:cstheme="majorBidi"/>
          <w:b/>
          <w:bCs/>
          <w:color w:val="4F81BD" w:themeColor="accent1"/>
        </w:rPr>
      </w:pPr>
      <w:r w:rsidRPr="000D1929">
        <w:rPr>
          <w:rFonts w:ascii="Century Gothic" w:hAnsi="Century Gothic"/>
        </w:rPr>
        <w:br w:type="page"/>
      </w:r>
    </w:p>
    <w:p w:rsidR="0077675C" w:rsidRPr="000D1929" w:rsidRDefault="0077675C" w:rsidP="00472F17">
      <w:pPr>
        <w:pStyle w:val="Titre2"/>
        <w:rPr>
          <w:rFonts w:ascii="Century Gothic" w:hAnsi="Century Gothic"/>
          <w:sz w:val="22"/>
          <w:szCs w:val="22"/>
        </w:rPr>
      </w:pPr>
    </w:p>
    <w:p w:rsidR="007A5B20" w:rsidRPr="00564F27" w:rsidRDefault="00756CB3" w:rsidP="00564F27">
      <w:pPr>
        <w:pStyle w:val="Titre1"/>
        <w:numPr>
          <w:ilvl w:val="0"/>
          <w:numId w:val="11"/>
        </w:numPr>
      </w:pPr>
      <w:bookmarkStart w:id="7" w:name="_Toc475970802"/>
      <w:r w:rsidRPr="00564F27">
        <w:t>Questionnaire</w:t>
      </w:r>
      <w:bookmarkEnd w:id="7"/>
    </w:p>
    <w:p w:rsidR="00756CB3" w:rsidRPr="000D1929" w:rsidRDefault="00756CB3" w:rsidP="007A5B20">
      <w:pPr>
        <w:rPr>
          <w:rFonts w:ascii="Century Gothic" w:hAnsi="Century Gothic"/>
        </w:rPr>
      </w:pPr>
    </w:p>
    <w:p w:rsidR="003F6B8B" w:rsidRPr="000D1929" w:rsidRDefault="003F6B8B" w:rsidP="003F6B8B">
      <w:pPr>
        <w:jc w:val="both"/>
        <w:rPr>
          <w:rFonts w:ascii="Century Gothic" w:hAnsi="Century Gothic"/>
          <w:b/>
          <w:lang w:val="fr-FR"/>
        </w:rPr>
      </w:pPr>
      <w:r w:rsidRPr="000D1929">
        <w:rPr>
          <w:rFonts w:ascii="Century Gothic" w:hAnsi="Century Gothic"/>
          <w:b/>
          <w:lang w:val="fr-FR"/>
        </w:rPr>
        <w:t xml:space="preserve">Compétitivité </w:t>
      </w:r>
    </w:p>
    <w:p w:rsidR="009A3844" w:rsidRPr="00261245" w:rsidRDefault="003F6B8B" w:rsidP="00261245">
      <w:pPr>
        <w:pStyle w:val="Paragraphedeliste"/>
        <w:numPr>
          <w:ilvl w:val="0"/>
          <w:numId w:val="14"/>
        </w:numPr>
        <w:jc w:val="both"/>
        <w:rPr>
          <w:rFonts w:ascii="Century Gothic" w:hAnsi="Century Gothic"/>
          <w:lang w:val="fr-FR"/>
        </w:rPr>
      </w:pPr>
      <w:r w:rsidRPr="00261245">
        <w:rPr>
          <w:rFonts w:ascii="Century Gothic" w:hAnsi="Century Gothic"/>
          <w:lang w:val="fr-FR"/>
        </w:rPr>
        <w:t xml:space="preserve">Comment </w:t>
      </w:r>
      <w:r w:rsidR="002D731D" w:rsidRPr="00261245">
        <w:rPr>
          <w:rFonts w:ascii="Century Gothic" w:hAnsi="Century Gothic"/>
          <w:lang w:val="fr-FR"/>
        </w:rPr>
        <w:t xml:space="preserve"> la Wallonie pourrait-elle bénéficier au mieux des programmes de recherche organisée au niveau européen, dans le secteur de l’énergie (tant au niveau académique qu’au niveau industriel) ?</w:t>
      </w:r>
      <w:r w:rsidR="007C7811" w:rsidRPr="00261245">
        <w:rPr>
          <w:rFonts w:ascii="Century Gothic" w:hAnsi="Century Gothic"/>
          <w:lang w:val="fr-FR"/>
        </w:rPr>
        <w:t xml:space="preserve"> </w:t>
      </w:r>
      <w:r w:rsidR="009A3844" w:rsidRPr="00261245">
        <w:rPr>
          <w:rFonts w:ascii="Century Gothic" w:hAnsi="Century Gothic"/>
          <w:lang w:val="fr-FR"/>
        </w:rPr>
        <w:t>Quel accompagnement devra être réservé à nos acteurs en recherche</w:t>
      </w:r>
      <w:r w:rsidR="008D55C1" w:rsidRPr="00261245">
        <w:rPr>
          <w:rFonts w:ascii="Century Gothic" w:hAnsi="Century Gothic"/>
          <w:lang w:val="fr-FR"/>
        </w:rPr>
        <w:t xml:space="preserve"> afin d’optimiser leur insertion dans les projets européens</w:t>
      </w:r>
      <w:r w:rsidR="009A3844" w:rsidRPr="00261245">
        <w:rPr>
          <w:rFonts w:ascii="Century Gothic" w:hAnsi="Century Gothic"/>
          <w:lang w:val="fr-FR"/>
        </w:rPr>
        <w:t xml:space="preserve"> ? </w:t>
      </w:r>
    </w:p>
    <w:p w:rsidR="0084530B" w:rsidRDefault="0084530B" w:rsidP="0084530B">
      <w:pPr>
        <w:pStyle w:val="Paragraphedeliste"/>
        <w:ind w:left="540"/>
        <w:jc w:val="both"/>
        <w:rPr>
          <w:rFonts w:ascii="Century Gothic" w:hAnsi="Century Gothic"/>
          <w:lang w:val="fr-FR"/>
        </w:rPr>
      </w:pPr>
    </w:p>
    <w:p w:rsidR="0084530B" w:rsidRPr="00261245" w:rsidRDefault="0084530B" w:rsidP="00261245">
      <w:pPr>
        <w:pStyle w:val="Paragraphedeliste"/>
        <w:numPr>
          <w:ilvl w:val="0"/>
          <w:numId w:val="14"/>
        </w:numPr>
        <w:rPr>
          <w:rFonts w:ascii="Century Gothic" w:hAnsi="Century Gothic"/>
        </w:rPr>
      </w:pPr>
      <w:r w:rsidRPr="00C439D0">
        <w:rPr>
          <w:rFonts w:ascii="Century Gothic" w:hAnsi="Century Gothic"/>
          <w:lang w:val="fr-BE"/>
        </w:rPr>
        <w:t xml:space="preserve">En quoi le financement de la recherche en Energie peut-il contribuer à  améliorer la compétitivité en Wallonie ? </w:t>
      </w:r>
      <w:r w:rsidRPr="00261245">
        <w:rPr>
          <w:rFonts w:ascii="Century Gothic" w:hAnsi="Century Gothic"/>
        </w:rPr>
        <w:t xml:space="preserve">Quels sont, selon vous, les barrières </w:t>
      </w:r>
      <w:proofErr w:type="gramStart"/>
      <w:r w:rsidRPr="00261245">
        <w:rPr>
          <w:rFonts w:ascii="Century Gothic" w:hAnsi="Century Gothic"/>
        </w:rPr>
        <w:t>existantes ?</w:t>
      </w:r>
      <w:proofErr w:type="gramEnd"/>
      <w:r w:rsidRPr="00261245">
        <w:rPr>
          <w:rFonts w:ascii="Century Gothic" w:hAnsi="Century Gothic"/>
        </w:rPr>
        <w:t xml:space="preserve"> Quelles sont les solutions les plus adéquates qui permettraient de lever ces </w:t>
      </w:r>
      <w:proofErr w:type="gramStart"/>
      <w:r w:rsidRPr="00261245">
        <w:rPr>
          <w:rFonts w:ascii="Century Gothic" w:hAnsi="Century Gothic"/>
        </w:rPr>
        <w:t>barrières ?</w:t>
      </w:r>
      <w:proofErr w:type="gramEnd"/>
      <w:r w:rsidRPr="00261245">
        <w:rPr>
          <w:rFonts w:ascii="Century Gothic" w:hAnsi="Century Gothic"/>
        </w:rPr>
        <w:t xml:space="preserve"> </w:t>
      </w:r>
    </w:p>
    <w:p w:rsidR="008D55C1" w:rsidRPr="0084530B" w:rsidRDefault="008D55C1" w:rsidP="0084530B">
      <w:pPr>
        <w:jc w:val="both"/>
        <w:rPr>
          <w:rFonts w:ascii="Century Gothic" w:hAnsi="Century Gothic"/>
          <w:b/>
          <w:lang w:val="fr-FR"/>
        </w:rPr>
      </w:pPr>
      <w:r w:rsidRPr="0084530B">
        <w:rPr>
          <w:rFonts w:ascii="Century Gothic" w:hAnsi="Century Gothic"/>
          <w:b/>
          <w:lang w:val="fr-FR"/>
        </w:rPr>
        <w:t>Financement de la recherche</w:t>
      </w:r>
    </w:p>
    <w:p w:rsidR="009A3844" w:rsidRPr="000D1929" w:rsidRDefault="009A3844"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 xml:space="preserve">Quels </w:t>
      </w:r>
      <w:r w:rsidR="00242DC6">
        <w:rPr>
          <w:rFonts w:ascii="Century Gothic" w:hAnsi="Century Gothic"/>
          <w:lang w:val="fr-FR"/>
        </w:rPr>
        <w:t>modes de financement</w:t>
      </w:r>
      <w:r w:rsidR="008D55C1" w:rsidRPr="000D1929">
        <w:rPr>
          <w:rFonts w:ascii="Century Gothic" w:hAnsi="Century Gothic"/>
          <w:lang w:val="fr-FR"/>
        </w:rPr>
        <w:t xml:space="preserve"> </w:t>
      </w:r>
      <w:r w:rsidRPr="000D1929">
        <w:rPr>
          <w:rFonts w:ascii="Century Gothic" w:hAnsi="Century Gothic"/>
          <w:lang w:val="fr-FR"/>
        </w:rPr>
        <w:t>devraient être prévus pour accompagner la recherche et l’innovation</w:t>
      </w:r>
      <w:r w:rsidR="00B84929">
        <w:rPr>
          <w:rFonts w:ascii="Century Gothic" w:hAnsi="Century Gothic"/>
          <w:lang w:val="fr-FR"/>
        </w:rPr>
        <w:t xml:space="preserve"> en énergie</w:t>
      </w:r>
      <w:r w:rsidRPr="000D1929">
        <w:rPr>
          <w:rFonts w:ascii="Century Gothic" w:hAnsi="Century Gothic"/>
          <w:lang w:val="fr-FR"/>
        </w:rPr>
        <w:t> ?</w:t>
      </w:r>
    </w:p>
    <w:p w:rsidR="008D55C1" w:rsidRPr="000D1929" w:rsidRDefault="008D55C1"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La complémentarité des sources de financement devrait-elle être encouragée ?</w:t>
      </w:r>
    </w:p>
    <w:p w:rsidR="008D55C1" w:rsidRPr="000D1929" w:rsidRDefault="008D55C1"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Un budget spécifique à la recherche en énergie devrait-</w:t>
      </w:r>
      <w:r w:rsidR="00564F27">
        <w:rPr>
          <w:rFonts w:ascii="Century Gothic" w:hAnsi="Century Gothic"/>
          <w:lang w:val="fr-FR"/>
        </w:rPr>
        <w:t>il</w:t>
      </w:r>
      <w:r w:rsidRPr="000D1929">
        <w:rPr>
          <w:rFonts w:ascii="Century Gothic" w:hAnsi="Century Gothic"/>
          <w:lang w:val="fr-FR"/>
        </w:rPr>
        <w:t xml:space="preserve"> être envisagé ?</w:t>
      </w:r>
    </w:p>
    <w:p w:rsidR="008D55C1" w:rsidRPr="000D1929" w:rsidRDefault="008D55C1" w:rsidP="008D55C1">
      <w:pPr>
        <w:jc w:val="both"/>
        <w:rPr>
          <w:rFonts w:ascii="Century Gothic" w:hAnsi="Century Gothic"/>
          <w:b/>
          <w:lang w:val="fr-FR"/>
        </w:rPr>
      </w:pPr>
      <w:r w:rsidRPr="000D1929">
        <w:rPr>
          <w:rFonts w:ascii="Century Gothic" w:hAnsi="Century Gothic"/>
          <w:b/>
          <w:lang w:val="fr-FR"/>
        </w:rPr>
        <w:t>Stratégies de la recherche en énergie</w:t>
      </w:r>
    </w:p>
    <w:p w:rsidR="00713F1C" w:rsidRPr="000D1929" w:rsidRDefault="00713F1C"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L’implémentation des feuilles de route technologiques européenne</w:t>
      </w:r>
      <w:r w:rsidR="0099087D">
        <w:rPr>
          <w:rFonts w:ascii="Century Gothic" w:hAnsi="Century Gothic"/>
          <w:lang w:val="fr-FR"/>
        </w:rPr>
        <w:t>s</w:t>
      </w:r>
      <w:r w:rsidRPr="000D1929">
        <w:rPr>
          <w:rFonts w:ascii="Century Gothic" w:hAnsi="Century Gothic"/>
          <w:lang w:val="fr-FR"/>
        </w:rPr>
        <w:t xml:space="preserve"> est-elle importante en Wallonie ?</w:t>
      </w:r>
    </w:p>
    <w:p w:rsidR="009A3844" w:rsidRPr="000D1929" w:rsidRDefault="00713F1C"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Si oui, c</w:t>
      </w:r>
      <w:r w:rsidR="009A3844" w:rsidRPr="000D1929">
        <w:rPr>
          <w:rFonts w:ascii="Century Gothic" w:hAnsi="Century Gothic"/>
          <w:lang w:val="fr-FR"/>
        </w:rPr>
        <w:t xml:space="preserve">omment implémenter au mieux </w:t>
      </w:r>
      <w:r w:rsidRPr="000D1929">
        <w:rPr>
          <w:rFonts w:ascii="Century Gothic" w:hAnsi="Century Gothic"/>
          <w:lang w:val="fr-FR"/>
        </w:rPr>
        <w:t>c</w:t>
      </w:r>
      <w:r w:rsidR="009A3844" w:rsidRPr="000D1929">
        <w:rPr>
          <w:rFonts w:ascii="Century Gothic" w:hAnsi="Century Gothic"/>
          <w:lang w:val="fr-FR"/>
        </w:rPr>
        <w:t>es feuilles de route technologiques européennes</w:t>
      </w:r>
      <w:r w:rsidRPr="000D1929">
        <w:rPr>
          <w:rFonts w:ascii="Century Gothic" w:hAnsi="Century Gothic"/>
          <w:lang w:val="fr-FR"/>
        </w:rPr>
        <w:t xml:space="preserve"> </w:t>
      </w:r>
      <w:r w:rsidR="009A3844" w:rsidRPr="000D1929">
        <w:rPr>
          <w:rFonts w:ascii="Century Gothic" w:hAnsi="Century Gothic"/>
          <w:lang w:val="fr-FR"/>
        </w:rPr>
        <w:t>?</w:t>
      </w:r>
    </w:p>
    <w:p w:rsidR="00713F1C" w:rsidRPr="000D1929" w:rsidRDefault="00713F1C"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La communautarisation de la communauté scientifique dans les thématiques énergétiques devrait-elle être envisagée ?</w:t>
      </w:r>
    </w:p>
    <w:p w:rsidR="00713F1C" w:rsidRDefault="00713F1C" w:rsidP="00261245">
      <w:pPr>
        <w:pStyle w:val="Paragraphedeliste"/>
        <w:numPr>
          <w:ilvl w:val="0"/>
          <w:numId w:val="14"/>
        </w:numPr>
        <w:jc w:val="both"/>
        <w:rPr>
          <w:rFonts w:ascii="Century Gothic" w:hAnsi="Century Gothic"/>
          <w:lang w:val="fr-FR"/>
        </w:rPr>
      </w:pPr>
      <w:r w:rsidRPr="000D1929">
        <w:rPr>
          <w:rFonts w:ascii="Century Gothic" w:hAnsi="Century Gothic"/>
          <w:lang w:val="fr-FR"/>
        </w:rPr>
        <w:t>Comment imaginer les interactions entre les acteurs de la recherche, du développement et de l’innovation ?</w:t>
      </w:r>
    </w:p>
    <w:p w:rsidR="003F2D02" w:rsidRDefault="003F2D02" w:rsidP="003F2D02">
      <w:pPr>
        <w:pStyle w:val="Paragraphedeliste"/>
        <w:ind w:left="540"/>
        <w:jc w:val="both"/>
        <w:rPr>
          <w:rFonts w:ascii="Century Gothic" w:hAnsi="Century Gothic"/>
          <w:lang w:val="fr-FR"/>
        </w:rPr>
      </w:pPr>
    </w:p>
    <w:p w:rsidR="003F2D02" w:rsidRDefault="003F2D02" w:rsidP="003F2D02">
      <w:pPr>
        <w:pStyle w:val="Paragraphedeliste"/>
        <w:ind w:left="540"/>
        <w:jc w:val="both"/>
        <w:rPr>
          <w:rFonts w:ascii="Century Gothic" w:hAnsi="Century Gothic"/>
          <w:lang w:val="fr-FR"/>
        </w:rPr>
      </w:pPr>
    </w:p>
    <w:tbl>
      <w:tblPr>
        <w:tblStyle w:val="Grilledutableau"/>
        <w:tblW w:w="0" w:type="auto"/>
        <w:tblInd w:w="720" w:type="dxa"/>
        <w:tblLook w:val="04A0"/>
      </w:tblPr>
      <w:tblGrid>
        <w:gridCol w:w="4342"/>
        <w:gridCol w:w="4226"/>
      </w:tblGrid>
      <w:tr w:rsidR="003F2D02" w:rsidTr="001B54AA">
        <w:tc>
          <w:tcPr>
            <w:tcW w:w="4342"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Nom Organisme</w:t>
            </w:r>
          </w:p>
        </w:tc>
        <w:tc>
          <w:tcPr>
            <w:tcW w:w="4226" w:type="dxa"/>
          </w:tcPr>
          <w:p w:rsidR="003F2D02" w:rsidRDefault="003F2D02" w:rsidP="001B54AA">
            <w:pPr>
              <w:pStyle w:val="Paragraphedeliste"/>
              <w:ind w:left="0"/>
              <w:jc w:val="both"/>
              <w:rPr>
                <w:rFonts w:ascii="Century Gothic" w:hAnsi="Century Gothic"/>
                <w:lang w:val="fr-BE"/>
              </w:rPr>
            </w:pPr>
          </w:p>
        </w:tc>
      </w:tr>
      <w:tr w:rsidR="003F2D02" w:rsidTr="001B54AA">
        <w:tc>
          <w:tcPr>
            <w:tcW w:w="4342"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Personne de contact</w:t>
            </w:r>
          </w:p>
        </w:tc>
        <w:tc>
          <w:tcPr>
            <w:tcW w:w="4226" w:type="dxa"/>
          </w:tcPr>
          <w:p w:rsidR="003F2D02" w:rsidRDefault="003F2D02" w:rsidP="001B54AA">
            <w:pPr>
              <w:pStyle w:val="Paragraphedeliste"/>
              <w:ind w:left="0"/>
              <w:jc w:val="both"/>
              <w:rPr>
                <w:rFonts w:ascii="Century Gothic" w:hAnsi="Century Gothic"/>
                <w:lang w:val="fr-BE"/>
              </w:rPr>
            </w:pPr>
          </w:p>
        </w:tc>
      </w:tr>
      <w:tr w:rsidR="003F2D02" w:rsidTr="001B54AA">
        <w:tc>
          <w:tcPr>
            <w:tcW w:w="4342"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Tel.</w:t>
            </w:r>
          </w:p>
        </w:tc>
        <w:tc>
          <w:tcPr>
            <w:tcW w:w="4226" w:type="dxa"/>
          </w:tcPr>
          <w:p w:rsidR="003F2D02" w:rsidRDefault="003F2D02" w:rsidP="001B54AA">
            <w:pPr>
              <w:pStyle w:val="Paragraphedeliste"/>
              <w:ind w:left="0"/>
              <w:jc w:val="both"/>
              <w:rPr>
                <w:rFonts w:ascii="Century Gothic" w:hAnsi="Century Gothic"/>
                <w:lang w:val="fr-BE"/>
              </w:rPr>
            </w:pPr>
          </w:p>
        </w:tc>
      </w:tr>
      <w:tr w:rsidR="003F2D02" w:rsidTr="001B54AA">
        <w:tc>
          <w:tcPr>
            <w:tcW w:w="4342"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Mail</w:t>
            </w:r>
          </w:p>
        </w:tc>
        <w:tc>
          <w:tcPr>
            <w:tcW w:w="4226" w:type="dxa"/>
          </w:tcPr>
          <w:p w:rsidR="003F2D02" w:rsidRDefault="003F2D02" w:rsidP="001B54AA">
            <w:pPr>
              <w:pStyle w:val="Paragraphedeliste"/>
              <w:ind w:left="0"/>
              <w:jc w:val="both"/>
              <w:rPr>
                <w:rFonts w:ascii="Century Gothic" w:hAnsi="Century Gothic"/>
                <w:lang w:val="fr-BE"/>
              </w:rPr>
            </w:pPr>
          </w:p>
        </w:tc>
      </w:tr>
      <w:tr w:rsidR="003F2D02" w:rsidTr="001B54AA">
        <w:tc>
          <w:tcPr>
            <w:tcW w:w="4342"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Mes réponses  sont confidentielles</w:t>
            </w:r>
          </w:p>
          <w:p w:rsidR="003F2D02" w:rsidRPr="00315A0E" w:rsidRDefault="003F2D02" w:rsidP="001B54AA">
            <w:pPr>
              <w:pStyle w:val="Paragraphedeliste"/>
              <w:ind w:left="0"/>
              <w:jc w:val="both"/>
              <w:rPr>
                <w:rFonts w:ascii="Century Gothic" w:hAnsi="Century Gothic"/>
                <w:sz w:val="16"/>
                <w:szCs w:val="16"/>
                <w:lang w:val="fr-BE"/>
              </w:rPr>
            </w:pPr>
            <w:r w:rsidRPr="00315A0E">
              <w:rPr>
                <w:rFonts w:ascii="Century Gothic" w:hAnsi="Century Gothic"/>
                <w:sz w:val="16"/>
                <w:szCs w:val="16"/>
                <w:lang w:val="fr-BE"/>
              </w:rPr>
              <w:t>(biffer la mention inutile)</w:t>
            </w:r>
          </w:p>
        </w:tc>
        <w:tc>
          <w:tcPr>
            <w:tcW w:w="4226" w:type="dxa"/>
          </w:tcPr>
          <w:p w:rsidR="003F2D02" w:rsidRDefault="003F2D02" w:rsidP="001B54AA">
            <w:pPr>
              <w:pStyle w:val="Paragraphedeliste"/>
              <w:ind w:left="0"/>
              <w:jc w:val="both"/>
              <w:rPr>
                <w:rFonts w:ascii="Century Gothic" w:hAnsi="Century Gothic"/>
                <w:lang w:val="fr-BE"/>
              </w:rPr>
            </w:pPr>
            <w:r>
              <w:rPr>
                <w:rFonts w:ascii="Century Gothic" w:hAnsi="Century Gothic"/>
                <w:lang w:val="fr-BE"/>
              </w:rPr>
              <w:t>OUI- NON</w:t>
            </w:r>
          </w:p>
        </w:tc>
      </w:tr>
    </w:tbl>
    <w:p w:rsidR="00A73490" w:rsidRPr="000D1929" w:rsidRDefault="00A73490" w:rsidP="00BD61AD">
      <w:pPr>
        <w:pStyle w:val="Titre1"/>
        <w:rPr>
          <w:rFonts w:ascii="Century Gothic" w:hAnsi="Century Gothic"/>
          <w:sz w:val="22"/>
          <w:szCs w:val="22"/>
        </w:rPr>
      </w:pPr>
    </w:p>
    <w:sectPr w:rsidR="00A73490" w:rsidRPr="000D1929" w:rsidSect="0033110E">
      <w:footerReference w:type="default" r:id="rId14"/>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25B41" w15:done="0"/>
  <w15:commentEx w15:paraId="5A739B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BB" w:rsidRDefault="00DC47BB" w:rsidP="005B4EEA">
      <w:pPr>
        <w:spacing w:after="0" w:line="240" w:lineRule="auto"/>
      </w:pPr>
      <w:r>
        <w:separator/>
      </w:r>
    </w:p>
  </w:endnote>
  <w:endnote w:type="continuationSeparator" w:id="0">
    <w:p w:rsidR="00DC47BB" w:rsidRDefault="00DC47BB" w:rsidP="005B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695"/>
      <w:docPartObj>
        <w:docPartGallery w:val="Page Numbers (Bottom of Page)"/>
        <w:docPartUnique/>
      </w:docPartObj>
    </w:sdtPr>
    <w:sdtContent>
      <w:p w:rsidR="00593B69" w:rsidRDefault="00510021">
        <w:pPr>
          <w:pStyle w:val="Pieddepage"/>
          <w:jc w:val="right"/>
        </w:pPr>
        <w:r>
          <w:fldChar w:fldCharType="begin"/>
        </w:r>
        <w:r w:rsidR="00607198">
          <w:instrText xml:space="preserve"> PAGE   \* MERGEFORMAT </w:instrText>
        </w:r>
        <w:r>
          <w:fldChar w:fldCharType="separate"/>
        </w:r>
        <w:r w:rsidR="00C439D0">
          <w:rPr>
            <w:noProof/>
          </w:rPr>
          <w:t>14</w:t>
        </w:r>
        <w:r>
          <w:rPr>
            <w:noProof/>
          </w:rPr>
          <w:fldChar w:fldCharType="end"/>
        </w:r>
      </w:p>
    </w:sdtContent>
  </w:sdt>
  <w:p w:rsidR="00593B69" w:rsidRDefault="00593B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BB" w:rsidRDefault="00DC47BB" w:rsidP="005B4EEA">
      <w:pPr>
        <w:spacing w:after="0" w:line="240" w:lineRule="auto"/>
      </w:pPr>
      <w:r>
        <w:separator/>
      </w:r>
    </w:p>
  </w:footnote>
  <w:footnote w:type="continuationSeparator" w:id="0">
    <w:p w:rsidR="00DC47BB" w:rsidRDefault="00DC47BB" w:rsidP="005B4EEA">
      <w:pPr>
        <w:spacing w:after="0" w:line="240" w:lineRule="auto"/>
      </w:pPr>
      <w:r>
        <w:continuationSeparator/>
      </w:r>
    </w:p>
  </w:footnote>
  <w:footnote w:id="1">
    <w:p w:rsidR="00593B69" w:rsidRPr="0021075F" w:rsidRDefault="00593B69">
      <w:pPr>
        <w:pStyle w:val="Notedebasdepage"/>
        <w:rPr>
          <w:lang w:val="fr-BE"/>
        </w:rPr>
      </w:pPr>
      <w:r>
        <w:rPr>
          <w:rStyle w:val="Appelnotedebasdep"/>
        </w:rPr>
        <w:footnoteRef/>
      </w:r>
      <w:r>
        <w:t xml:space="preserve"> </w:t>
      </w:r>
      <w:proofErr w:type="spellStart"/>
      <w:r>
        <w:rPr>
          <w:lang w:val="fr-BE"/>
        </w:rPr>
        <w:t>Carbon</w:t>
      </w:r>
      <w:proofErr w:type="spellEnd"/>
      <w:r>
        <w:rPr>
          <w:lang w:val="fr-BE"/>
        </w:rPr>
        <w:t xml:space="preserve"> Capture Storage</w:t>
      </w:r>
    </w:p>
  </w:footnote>
  <w:footnote w:id="2">
    <w:p w:rsidR="00564F27" w:rsidRPr="00564F27" w:rsidRDefault="00564F27">
      <w:pPr>
        <w:pStyle w:val="Notedebasdepage"/>
        <w:rPr>
          <w:lang w:val="fr-BE"/>
        </w:rPr>
      </w:pPr>
      <w:r>
        <w:rPr>
          <w:rStyle w:val="Appelnotedebasdep"/>
        </w:rPr>
        <w:footnoteRef/>
      </w:r>
      <w:r>
        <w:t xml:space="preserve"> </w:t>
      </w:r>
      <w:proofErr w:type="gramStart"/>
      <w:r>
        <w:rPr>
          <w:rFonts w:ascii="Century Gothic" w:hAnsi="Century Gothic"/>
          <w:lang w:val="fr-FR"/>
        </w:rPr>
        <w:t>statistiques</w:t>
      </w:r>
      <w:proofErr w:type="gramEnd"/>
      <w:r>
        <w:rPr>
          <w:rFonts w:ascii="Century Gothic" w:hAnsi="Century Gothic"/>
          <w:lang w:val="fr-FR"/>
        </w:rPr>
        <w:t xml:space="preserve"> AIE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F2"/>
    <w:multiLevelType w:val="multilevel"/>
    <w:tmpl w:val="241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C7DE5"/>
    <w:multiLevelType w:val="hybridMultilevel"/>
    <w:tmpl w:val="ED243B40"/>
    <w:lvl w:ilvl="0" w:tplc="FD1E184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551066"/>
    <w:multiLevelType w:val="hybridMultilevel"/>
    <w:tmpl w:val="59E050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BDC076F"/>
    <w:multiLevelType w:val="multilevel"/>
    <w:tmpl w:val="CE5AEA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882CED"/>
    <w:multiLevelType w:val="multilevel"/>
    <w:tmpl w:val="87486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8D7E5D"/>
    <w:multiLevelType w:val="hybridMultilevel"/>
    <w:tmpl w:val="8BAA94D8"/>
    <w:lvl w:ilvl="0" w:tplc="8DC0A0CA">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1BE0F32"/>
    <w:multiLevelType w:val="hybridMultilevel"/>
    <w:tmpl w:val="4FD61A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3BF7627"/>
    <w:multiLevelType w:val="hybridMultilevel"/>
    <w:tmpl w:val="B68EF1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ABF6C8A"/>
    <w:multiLevelType w:val="hybridMultilevel"/>
    <w:tmpl w:val="ACAA71C8"/>
    <w:lvl w:ilvl="0" w:tplc="A9FA51E2">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4C36CA"/>
    <w:multiLevelType w:val="hybridMultilevel"/>
    <w:tmpl w:val="2FDA3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E43D09"/>
    <w:multiLevelType w:val="hybridMultilevel"/>
    <w:tmpl w:val="8864FA84"/>
    <w:lvl w:ilvl="0" w:tplc="9BC450CE">
      <w:numFmt w:val="bullet"/>
      <w:lvlText w:val="-"/>
      <w:lvlJc w:val="left"/>
      <w:pPr>
        <w:ind w:left="720" w:hanging="360"/>
      </w:pPr>
      <w:rPr>
        <w:rFonts w:ascii="Cambria" w:eastAsiaTheme="majorEastAsia" w:hAnsi="Cambria" w:cstheme="maj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9941D64"/>
    <w:multiLevelType w:val="hybridMultilevel"/>
    <w:tmpl w:val="9F9C966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F53BA5"/>
    <w:multiLevelType w:val="hybridMultilevel"/>
    <w:tmpl w:val="F2EE5552"/>
    <w:lvl w:ilvl="0" w:tplc="DBEA1812">
      <w:numFmt w:val="bullet"/>
      <w:lvlText w:val="-"/>
      <w:lvlJc w:val="left"/>
      <w:pPr>
        <w:ind w:left="540" w:hanging="360"/>
      </w:pPr>
      <w:rPr>
        <w:rFonts w:ascii="Calibri" w:eastAsia="Times New Roman" w:hAnsi="Calibri" w:cs="Courier New"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num w:numId="1">
    <w:abstractNumId w:val="10"/>
  </w:num>
  <w:num w:numId="2">
    <w:abstractNumId w:val="6"/>
  </w:num>
  <w:num w:numId="3">
    <w:abstractNumId w:val="8"/>
  </w:num>
  <w:num w:numId="4">
    <w:abstractNumId w:val="11"/>
  </w:num>
  <w:num w:numId="5">
    <w:abstractNumId w:val="4"/>
  </w:num>
  <w:num w:numId="6">
    <w:abstractNumId w:val="12"/>
  </w:num>
  <w:num w:numId="7">
    <w:abstractNumId w:val="5"/>
  </w:num>
  <w:num w:numId="8">
    <w:abstractNumId w:val="9"/>
  </w:num>
  <w:num w:numId="9">
    <w:abstractNumId w:val="13"/>
  </w:num>
  <w:num w:numId="10">
    <w:abstractNumId w:val="2"/>
  </w:num>
  <w:num w:numId="11">
    <w:abstractNumId w:val="3"/>
  </w:num>
  <w:num w:numId="12">
    <w:abstractNumId w:val="0"/>
  </w:num>
  <w:num w:numId="13">
    <w:abstractNumId w:val="1"/>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NE Alain">
    <w15:presenceInfo w15:providerId="AD" w15:userId="S-1-5-21-238996419-2022647336-1815957656-739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154B1"/>
    <w:rsid w:val="0000384B"/>
    <w:rsid w:val="00011FF6"/>
    <w:rsid w:val="00014643"/>
    <w:rsid w:val="00022DBA"/>
    <w:rsid w:val="00070C6B"/>
    <w:rsid w:val="00093686"/>
    <w:rsid w:val="000A72CB"/>
    <w:rsid w:val="000D1929"/>
    <w:rsid w:val="000D780B"/>
    <w:rsid w:val="000E6AB0"/>
    <w:rsid w:val="000F0449"/>
    <w:rsid w:val="0011219C"/>
    <w:rsid w:val="00125195"/>
    <w:rsid w:val="00136D09"/>
    <w:rsid w:val="00137B17"/>
    <w:rsid w:val="00140EFC"/>
    <w:rsid w:val="00144303"/>
    <w:rsid w:val="00161D9E"/>
    <w:rsid w:val="0016690D"/>
    <w:rsid w:val="00192E26"/>
    <w:rsid w:val="001B0A67"/>
    <w:rsid w:val="001C0524"/>
    <w:rsid w:val="001C1FBC"/>
    <w:rsid w:val="001C2077"/>
    <w:rsid w:val="0021075F"/>
    <w:rsid w:val="00213C48"/>
    <w:rsid w:val="002405EA"/>
    <w:rsid w:val="00242DC6"/>
    <w:rsid w:val="00255CF2"/>
    <w:rsid w:val="00261245"/>
    <w:rsid w:val="002B2D82"/>
    <w:rsid w:val="002D731D"/>
    <w:rsid w:val="00314FE6"/>
    <w:rsid w:val="003174C6"/>
    <w:rsid w:val="00320D69"/>
    <w:rsid w:val="00322383"/>
    <w:rsid w:val="0033110E"/>
    <w:rsid w:val="00342F71"/>
    <w:rsid w:val="00361D7C"/>
    <w:rsid w:val="00362C68"/>
    <w:rsid w:val="0039797C"/>
    <w:rsid w:val="003C1BC1"/>
    <w:rsid w:val="003C3179"/>
    <w:rsid w:val="003E7087"/>
    <w:rsid w:val="003F10C2"/>
    <w:rsid w:val="003F2D02"/>
    <w:rsid w:val="003F6B8B"/>
    <w:rsid w:val="00417651"/>
    <w:rsid w:val="0045284B"/>
    <w:rsid w:val="00472F17"/>
    <w:rsid w:val="00485A87"/>
    <w:rsid w:val="004928AD"/>
    <w:rsid w:val="004A48EB"/>
    <w:rsid w:val="004E5BC5"/>
    <w:rsid w:val="004F2A77"/>
    <w:rsid w:val="00501A2B"/>
    <w:rsid w:val="00502EF0"/>
    <w:rsid w:val="00510021"/>
    <w:rsid w:val="005356D1"/>
    <w:rsid w:val="00547CAB"/>
    <w:rsid w:val="00560BA4"/>
    <w:rsid w:val="00562D5C"/>
    <w:rsid w:val="005638EE"/>
    <w:rsid w:val="00564F27"/>
    <w:rsid w:val="005774F8"/>
    <w:rsid w:val="0059043B"/>
    <w:rsid w:val="00592823"/>
    <w:rsid w:val="00593B69"/>
    <w:rsid w:val="0059622F"/>
    <w:rsid w:val="00597FFD"/>
    <w:rsid w:val="005A38D6"/>
    <w:rsid w:val="005B4E43"/>
    <w:rsid w:val="005B4EEA"/>
    <w:rsid w:val="005C47BA"/>
    <w:rsid w:val="005E73C9"/>
    <w:rsid w:val="005F0538"/>
    <w:rsid w:val="00607198"/>
    <w:rsid w:val="00613BF8"/>
    <w:rsid w:val="0062652B"/>
    <w:rsid w:val="006321AF"/>
    <w:rsid w:val="00643961"/>
    <w:rsid w:val="00645DD2"/>
    <w:rsid w:val="0068368E"/>
    <w:rsid w:val="006C3884"/>
    <w:rsid w:val="006E26AA"/>
    <w:rsid w:val="00713F1C"/>
    <w:rsid w:val="007232FA"/>
    <w:rsid w:val="00727CBC"/>
    <w:rsid w:val="00756CB3"/>
    <w:rsid w:val="007615F6"/>
    <w:rsid w:val="00771027"/>
    <w:rsid w:val="0077675C"/>
    <w:rsid w:val="007A11E8"/>
    <w:rsid w:val="007A2DEA"/>
    <w:rsid w:val="007A5B20"/>
    <w:rsid w:val="007B0343"/>
    <w:rsid w:val="007C7811"/>
    <w:rsid w:val="007C7C12"/>
    <w:rsid w:val="007E3B50"/>
    <w:rsid w:val="007F0CE8"/>
    <w:rsid w:val="0080402C"/>
    <w:rsid w:val="00810E24"/>
    <w:rsid w:val="00824C8E"/>
    <w:rsid w:val="00827FEB"/>
    <w:rsid w:val="008331E4"/>
    <w:rsid w:val="0084530B"/>
    <w:rsid w:val="0085050B"/>
    <w:rsid w:val="0087037A"/>
    <w:rsid w:val="00871651"/>
    <w:rsid w:val="008A0D99"/>
    <w:rsid w:val="008A4F42"/>
    <w:rsid w:val="008A74B2"/>
    <w:rsid w:val="008B4079"/>
    <w:rsid w:val="008C0E2D"/>
    <w:rsid w:val="008C70BF"/>
    <w:rsid w:val="008D101E"/>
    <w:rsid w:val="008D174E"/>
    <w:rsid w:val="008D4D77"/>
    <w:rsid w:val="008D55C1"/>
    <w:rsid w:val="00921F07"/>
    <w:rsid w:val="00926F32"/>
    <w:rsid w:val="00930FDF"/>
    <w:rsid w:val="00952607"/>
    <w:rsid w:val="0099087D"/>
    <w:rsid w:val="00995FE4"/>
    <w:rsid w:val="009A3844"/>
    <w:rsid w:val="009B665A"/>
    <w:rsid w:val="009D308C"/>
    <w:rsid w:val="009F3260"/>
    <w:rsid w:val="009F6336"/>
    <w:rsid w:val="009F7F18"/>
    <w:rsid w:val="00A03979"/>
    <w:rsid w:val="00A4236E"/>
    <w:rsid w:val="00A4559F"/>
    <w:rsid w:val="00A45C91"/>
    <w:rsid w:val="00A52771"/>
    <w:rsid w:val="00A53201"/>
    <w:rsid w:val="00A73490"/>
    <w:rsid w:val="00A84845"/>
    <w:rsid w:val="00AA5EED"/>
    <w:rsid w:val="00AB1B39"/>
    <w:rsid w:val="00AC6D0D"/>
    <w:rsid w:val="00AC7719"/>
    <w:rsid w:val="00AE1D95"/>
    <w:rsid w:val="00B05165"/>
    <w:rsid w:val="00B0675C"/>
    <w:rsid w:val="00B11C95"/>
    <w:rsid w:val="00B12027"/>
    <w:rsid w:val="00B154B1"/>
    <w:rsid w:val="00B37885"/>
    <w:rsid w:val="00B56C50"/>
    <w:rsid w:val="00B66587"/>
    <w:rsid w:val="00B84929"/>
    <w:rsid w:val="00BC4D7D"/>
    <w:rsid w:val="00BD1083"/>
    <w:rsid w:val="00BD61AD"/>
    <w:rsid w:val="00C3215B"/>
    <w:rsid w:val="00C439D0"/>
    <w:rsid w:val="00C76923"/>
    <w:rsid w:val="00C81CA3"/>
    <w:rsid w:val="00C913F3"/>
    <w:rsid w:val="00CA60C7"/>
    <w:rsid w:val="00CA6912"/>
    <w:rsid w:val="00CB75ED"/>
    <w:rsid w:val="00CC5D73"/>
    <w:rsid w:val="00CE50A3"/>
    <w:rsid w:val="00D00B50"/>
    <w:rsid w:val="00D011DA"/>
    <w:rsid w:val="00D10F77"/>
    <w:rsid w:val="00D35036"/>
    <w:rsid w:val="00D36CCC"/>
    <w:rsid w:val="00D60588"/>
    <w:rsid w:val="00D91759"/>
    <w:rsid w:val="00D91CCF"/>
    <w:rsid w:val="00DA1859"/>
    <w:rsid w:val="00DB3146"/>
    <w:rsid w:val="00DB65F3"/>
    <w:rsid w:val="00DC47BB"/>
    <w:rsid w:val="00DE0EE2"/>
    <w:rsid w:val="00DE1378"/>
    <w:rsid w:val="00DE37D1"/>
    <w:rsid w:val="00DE5F8E"/>
    <w:rsid w:val="00E05578"/>
    <w:rsid w:val="00E25120"/>
    <w:rsid w:val="00E822A4"/>
    <w:rsid w:val="00E83083"/>
    <w:rsid w:val="00E84292"/>
    <w:rsid w:val="00EC5891"/>
    <w:rsid w:val="00F055B5"/>
    <w:rsid w:val="00F153C5"/>
    <w:rsid w:val="00F16C65"/>
    <w:rsid w:val="00F237B1"/>
    <w:rsid w:val="00F27861"/>
    <w:rsid w:val="00F45A69"/>
    <w:rsid w:val="00F535F5"/>
    <w:rsid w:val="00F86471"/>
    <w:rsid w:val="00FD4B40"/>
    <w:rsid w:val="00FD4C2B"/>
    <w:rsid w:val="00FD4DAB"/>
    <w:rsid w:val="00FE100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4B"/>
  </w:style>
  <w:style w:type="paragraph" w:styleId="Titre1">
    <w:name w:val="heading 1"/>
    <w:basedOn w:val="Normal"/>
    <w:next w:val="Normal"/>
    <w:link w:val="Titre1Car"/>
    <w:uiPriority w:val="9"/>
    <w:qFormat/>
    <w:rsid w:val="00166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4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34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A5B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B4EEA"/>
    <w:pPr>
      <w:ind w:left="720"/>
      <w:contextualSpacing/>
    </w:pPr>
    <w:rPr>
      <w:lang w:val="en-GB"/>
    </w:rPr>
  </w:style>
  <w:style w:type="paragraph" w:styleId="Notedebasdepage">
    <w:name w:val="footnote text"/>
    <w:basedOn w:val="Normal"/>
    <w:link w:val="NotedebasdepageCar"/>
    <w:uiPriority w:val="99"/>
    <w:unhideWhenUsed/>
    <w:rsid w:val="005B4EEA"/>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5B4EEA"/>
    <w:rPr>
      <w:sz w:val="20"/>
      <w:szCs w:val="20"/>
      <w:lang w:val="en-GB"/>
    </w:rPr>
  </w:style>
  <w:style w:type="character" w:styleId="Appelnotedebasdep">
    <w:name w:val="footnote reference"/>
    <w:basedOn w:val="Policepardfaut"/>
    <w:uiPriority w:val="99"/>
    <w:semiHidden/>
    <w:unhideWhenUsed/>
    <w:rsid w:val="005B4EEA"/>
    <w:rPr>
      <w:vertAlign w:val="superscript"/>
    </w:rPr>
  </w:style>
  <w:style w:type="character" w:customStyle="1" w:styleId="Titre1Car">
    <w:name w:val="Titre 1 Car"/>
    <w:basedOn w:val="Policepardfaut"/>
    <w:link w:val="Titre1"/>
    <w:uiPriority w:val="9"/>
    <w:rsid w:val="001669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9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34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734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A5B2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4F2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A77"/>
    <w:rPr>
      <w:rFonts w:ascii="Tahoma" w:hAnsi="Tahoma" w:cs="Tahoma"/>
      <w:sz w:val="16"/>
      <w:szCs w:val="16"/>
    </w:rPr>
  </w:style>
  <w:style w:type="paragraph" w:styleId="En-ttedetabledesmatires">
    <w:name w:val="TOC Heading"/>
    <w:basedOn w:val="Titre1"/>
    <w:next w:val="Normal"/>
    <w:uiPriority w:val="39"/>
    <w:semiHidden/>
    <w:unhideWhenUsed/>
    <w:qFormat/>
    <w:rsid w:val="00472F17"/>
    <w:pPr>
      <w:outlineLvl w:val="9"/>
    </w:pPr>
    <w:rPr>
      <w:lang w:val="fr-FR"/>
    </w:rPr>
  </w:style>
  <w:style w:type="paragraph" w:styleId="TM1">
    <w:name w:val="toc 1"/>
    <w:basedOn w:val="Normal"/>
    <w:next w:val="Normal"/>
    <w:autoRedefine/>
    <w:uiPriority w:val="39"/>
    <w:unhideWhenUsed/>
    <w:rsid w:val="00472F17"/>
    <w:pPr>
      <w:spacing w:after="100"/>
    </w:pPr>
  </w:style>
  <w:style w:type="paragraph" w:styleId="TM2">
    <w:name w:val="toc 2"/>
    <w:basedOn w:val="Normal"/>
    <w:next w:val="Normal"/>
    <w:autoRedefine/>
    <w:uiPriority w:val="39"/>
    <w:unhideWhenUsed/>
    <w:rsid w:val="00472F17"/>
    <w:pPr>
      <w:spacing w:after="100"/>
      <w:ind w:left="220"/>
    </w:pPr>
  </w:style>
  <w:style w:type="paragraph" w:styleId="TM3">
    <w:name w:val="toc 3"/>
    <w:basedOn w:val="Normal"/>
    <w:next w:val="Normal"/>
    <w:autoRedefine/>
    <w:uiPriority w:val="39"/>
    <w:unhideWhenUsed/>
    <w:rsid w:val="00472F17"/>
    <w:pPr>
      <w:spacing w:after="100"/>
      <w:ind w:left="440"/>
    </w:pPr>
  </w:style>
  <w:style w:type="character" w:styleId="Lienhypertexte">
    <w:name w:val="Hyperlink"/>
    <w:basedOn w:val="Policepardfaut"/>
    <w:uiPriority w:val="99"/>
    <w:unhideWhenUsed/>
    <w:rsid w:val="00472F17"/>
    <w:rPr>
      <w:color w:val="0000FF" w:themeColor="hyperlink"/>
      <w:u w:val="single"/>
    </w:rPr>
  </w:style>
  <w:style w:type="paragraph" w:styleId="En-tte">
    <w:name w:val="header"/>
    <w:basedOn w:val="Normal"/>
    <w:link w:val="En-tteCar"/>
    <w:uiPriority w:val="99"/>
    <w:semiHidden/>
    <w:unhideWhenUsed/>
    <w:rsid w:val="003311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110E"/>
  </w:style>
  <w:style w:type="paragraph" w:styleId="Pieddepage">
    <w:name w:val="footer"/>
    <w:basedOn w:val="Normal"/>
    <w:link w:val="PieddepageCar"/>
    <w:uiPriority w:val="99"/>
    <w:unhideWhenUsed/>
    <w:rsid w:val="0033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10E"/>
  </w:style>
  <w:style w:type="character" w:styleId="Marquedecommentaire">
    <w:name w:val="annotation reference"/>
    <w:basedOn w:val="Policepardfaut"/>
    <w:uiPriority w:val="99"/>
    <w:semiHidden/>
    <w:unhideWhenUsed/>
    <w:rsid w:val="005F0538"/>
    <w:rPr>
      <w:sz w:val="16"/>
      <w:szCs w:val="16"/>
    </w:rPr>
  </w:style>
  <w:style w:type="paragraph" w:styleId="Commentaire">
    <w:name w:val="annotation text"/>
    <w:basedOn w:val="Normal"/>
    <w:link w:val="CommentaireCar"/>
    <w:uiPriority w:val="99"/>
    <w:semiHidden/>
    <w:unhideWhenUsed/>
    <w:rsid w:val="005F0538"/>
    <w:pPr>
      <w:spacing w:line="240" w:lineRule="auto"/>
    </w:pPr>
    <w:rPr>
      <w:sz w:val="20"/>
      <w:szCs w:val="20"/>
    </w:rPr>
  </w:style>
  <w:style w:type="character" w:customStyle="1" w:styleId="CommentaireCar">
    <w:name w:val="Commentaire Car"/>
    <w:basedOn w:val="Policepardfaut"/>
    <w:link w:val="Commentaire"/>
    <w:uiPriority w:val="99"/>
    <w:semiHidden/>
    <w:rsid w:val="005F0538"/>
    <w:rPr>
      <w:sz w:val="20"/>
      <w:szCs w:val="20"/>
    </w:rPr>
  </w:style>
  <w:style w:type="paragraph" w:styleId="Objetducommentaire">
    <w:name w:val="annotation subject"/>
    <w:basedOn w:val="Commentaire"/>
    <w:next w:val="Commentaire"/>
    <w:link w:val="ObjetducommentaireCar"/>
    <w:uiPriority w:val="99"/>
    <w:semiHidden/>
    <w:unhideWhenUsed/>
    <w:rsid w:val="005F0538"/>
    <w:rPr>
      <w:b/>
      <w:bCs/>
    </w:rPr>
  </w:style>
  <w:style w:type="character" w:customStyle="1" w:styleId="ObjetducommentaireCar">
    <w:name w:val="Objet du commentaire Car"/>
    <w:basedOn w:val="CommentaireCar"/>
    <w:link w:val="Objetducommentaire"/>
    <w:uiPriority w:val="99"/>
    <w:semiHidden/>
    <w:rsid w:val="005F0538"/>
    <w:rPr>
      <w:b/>
      <w:bCs/>
      <w:sz w:val="20"/>
      <w:szCs w:val="20"/>
    </w:rPr>
  </w:style>
  <w:style w:type="table" w:styleId="Listeclaire-Accent5">
    <w:name w:val="Light List Accent 5"/>
    <w:basedOn w:val="TableauNormal"/>
    <w:uiPriority w:val="61"/>
    <w:rsid w:val="00F535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1">
    <w:name w:val="Light Shading Accent 1"/>
    <w:basedOn w:val="TableauNormal"/>
    <w:uiPriority w:val="60"/>
    <w:rsid w:val="00F535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formatHTML">
    <w:name w:val="HTML Preformatted"/>
    <w:basedOn w:val="Normal"/>
    <w:link w:val="PrformatHTMLCar"/>
    <w:uiPriority w:val="99"/>
    <w:semiHidden/>
    <w:unhideWhenUsed/>
    <w:rsid w:val="00AA5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AA5EED"/>
    <w:rPr>
      <w:rFonts w:ascii="Courier New" w:eastAsia="Times New Roman" w:hAnsi="Courier New" w:cs="Courier New"/>
      <w:sz w:val="20"/>
      <w:szCs w:val="20"/>
      <w:lang w:eastAsia="fr-BE"/>
    </w:rPr>
  </w:style>
  <w:style w:type="character" w:customStyle="1" w:styleId="ParagraphedelisteCar">
    <w:name w:val="Paragraphe de liste Car"/>
    <w:basedOn w:val="Policepardfaut"/>
    <w:link w:val="Paragraphedeliste"/>
    <w:uiPriority w:val="34"/>
    <w:rsid w:val="003F2D02"/>
    <w:rPr>
      <w:lang w:val="en-GB"/>
    </w:rPr>
  </w:style>
</w:styles>
</file>

<file path=word/webSettings.xml><?xml version="1.0" encoding="utf-8"?>
<w:webSettings xmlns:r="http://schemas.openxmlformats.org/officeDocument/2006/relationships" xmlns:w="http://schemas.openxmlformats.org/wordprocessingml/2006/main">
  <w:divs>
    <w:div w:id="168061726">
      <w:bodyDiv w:val="1"/>
      <w:marLeft w:val="0"/>
      <w:marRight w:val="0"/>
      <w:marTop w:val="0"/>
      <w:marBottom w:val="0"/>
      <w:divBdr>
        <w:top w:val="none" w:sz="0" w:space="0" w:color="auto"/>
        <w:left w:val="none" w:sz="0" w:space="0" w:color="auto"/>
        <w:bottom w:val="none" w:sz="0" w:space="0" w:color="auto"/>
        <w:right w:val="none" w:sz="0" w:space="0" w:color="auto"/>
      </w:divBdr>
      <w:divsChild>
        <w:div w:id="216863362">
          <w:marLeft w:val="0"/>
          <w:marRight w:val="0"/>
          <w:marTop w:val="0"/>
          <w:marBottom w:val="0"/>
          <w:divBdr>
            <w:top w:val="none" w:sz="0" w:space="0" w:color="auto"/>
            <w:left w:val="none" w:sz="0" w:space="0" w:color="auto"/>
            <w:bottom w:val="none" w:sz="0" w:space="0" w:color="auto"/>
            <w:right w:val="none" w:sz="0" w:space="0" w:color="auto"/>
          </w:divBdr>
          <w:divsChild>
            <w:div w:id="1312560176">
              <w:marLeft w:val="0"/>
              <w:marRight w:val="0"/>
              <w:marTop w:val="0"/>
              <w:marBottom w:val="0"/>
              <w:divBdr>
                <w:top w:val="none" w:sz="0" w:space="0" w:color="auto"/>
                <w:left w:val="none" w:sz="0" w:space="0" w:color="auto"/>
                <w:bottom w:val="none" w:sz="0" w:space="0" w:color="auto"/>
                <w:right w:val="none" w:sz="0" w:space="0" w:color="auto"/>
              </w:divBdr>
              <w:divsChild>
                <w:div w:id="1418868168">
                  <w:marLeft w:val="0"/>
                  <w:marRight w:val="0"/>
                  <w:marTop w:val="0"/>
                  <w:marBottom w:val="0"/>
                  <w:divBdr>
                    <w:top w:val="none" w:sz="0" w:space="0" w:color="auto"/>
                    <w:left w:val="none" w:sz="0" w:space="0" w:color="auto"/>
                    <w:bottom w:val="none" w:sz="0" w:space="0" w:color="auto"/>
                    <w:right w:val="none" w:sz="0" w:space="0" w:color="auto"/>
                  </w:divBdr>
                  <w:divsChild>
                    <w:div w:id="1447698269">
                      <w:marLeft w:val="0"/>
                      <w:marRight w:val="0"/>
                      <w:marTop w:val="0"/>
                      <w:marBottom w:val="0"/>
                      <w:divBdr>
                        <w:top w:val="none" w:sz="0" w:space="0" w:color="auto"/>
                        <w:left w:val="none" w:sz="0" w:space="0" w:color="auto"/>
                        <w:bottom w:val="none" w:sz="0" w:space="0" w:color="auto"/>
                        <w:right w:val="none" w:sz="0" w:space="0" w:color="auto"/>
                      </w:divBdr>
                      <w:divsChild>
                        <w:div w:id="1351681814">
                          <w:marLeft w:val="0"/>
                          <w:marRight w:val="0"/>
                          <w:marTop w:val="0"/>
                          <w:marBottom w:val="0"/>
                          <w:divBdr>
                            <w:top w:val="none" w:sz="0" w:space="0" w:color="auto"/>
                            <w:left w:val="none" w:sz="0" w:space="0" w:color="auto"/>
                            <w:bottom w:val="none" w:sz="0" w:space="0" w:color="auto"/>
                            <w:right w:val="none" w:sz="0" w:space="0" w:color="auto"/>
                          </w:divBdr>
                          <w:divsChild>
                            <w:div w:id="1520196967">
                              <w:marLeft w:val="0"/>
                              <w:marRight w:val="0"/>
                              <w:marTop w:val="0"/>
                              <w:marBottom w:val="0"/>
                              <w:divBdr>
                                <w:top w:val="none" w:sz="0" w:space="0" w:color="auto"/>
                                <w:left w:val="none" w:sz="0" w:space="0" w:color="auto"/>
                                <w:bottom w:val="none" w:sz="0" w:space="0" w:color="auto"/>
                                <w:right w:val="none" w:sz="0" w:space="0" w:color="auto"/>
                              </w:divBdr>
                              <w:divsChild>
                                <w:div w:id="1851407093">
                                  <w:marLeft w:val="0"/>
                                  <w:marRight w:val="0"/>
                                  <w:marTop w:val="0"/>
                                  <w:marBottom w:val="0"/>
                                  <w:divBdr>
                                    <w:top w:val="none" w:sz="0" w:space="0" w:color="auto"/>
                                    <w:left w:val="none" w:sz="0" w:space="0" w:color="auto"/>
                                    <w:bottom w:val="none" w:sz="0" w:space="0" w:color="auto"/>
                                    <w:right w:val="none" w:sz="0" w:space="0" w:color="auto"/>
                                  </w:divBdr>
                                  <w:divsChild>
                                    <w:div w:id="1161240067">
                                      <w:marLeft w:val="0"/>
                                      <w:marRight w:val="0"/>
                                      <w:marTop w:val="0"/>
                                      <w:marBottom w:val="0"/>
                                      <w:divBdr>
                                        <w:top w:val="none" w:sz="0" w:space="0" w:color="auto"/>
                                        <w:left w:val="none" w:sz="0" w:space="0" w:color="auto"/>
                                        <w:bottom w:val="none" w:sz="0" w:space="0" w:color="auto"/>
                                        <w:right w:val="none" w:sz="0" w:space="0" w:color="auto"/>
                                      </w:divBdr>
                                      <w:divsChild>
                                        <w:div w:id="543909767">
                                          <w:marLeft w:val="0"/>
                                          <w:marRight w:val="0"/>
                                          <w:marTop w:val="0"/>
                                          <w:marBottom w:val="0"/>
                                          <w:divBdr>
                                            <w:top w:val="none" w:sz="0" w:space="0" w:color="auto"/>
                                            <w:left w:val="none" w:sz="0" w:space="0" w:color="auto"/>
                                            <w:bottom w:val="none" w:sz="0" w:space="0" w:color="auto"/>
                                            <w:right w:val="none" w:sz="0" w:space="0" w:color="auto"/>
                                          </w:divBdr>
                                          <w:divsChild>
                                            <w:div w:id="1603949741">
                                              <w:marLeft w:val="0"/>
                                              <w:marRight w:val="0"/>
                                              <w:marTop w:val="0"/>
                                              <w:marBottom w:val="0"/>
                                              <w:divBdr>
                                                <w:top w:val="none" w:sz="0" w:space="0" w:color="auto"/>
                                                <w:left w:val="none" w:sz="0" w:space="0" w:color="auto"/>
                                                <w:bottom w:val="none" w:sz="0" w:space="0" w:color="auto"/>
                                                <w:right w:val="none" w:sz="0" w:space="0" w:color="auto"/>
                                              </w:divBdr>
                                              <w:divsChild>
                                                <w:div w:id="1849713670">
                                                  <w:marLeft w:val="0"/>
                                                  <w:marRight w:val="0"/>
                                                  <w:marTop w:val="0"/>
                                                  <w:marBottom w:val="0"/>
                                                  <w:divBdr>
                                                    <w:top w:val="none" w:sz="0" w:space="0" w:color="auto"/>
                                                    <w:left w:val="none" w:sz="0" w:space="0" w:color="auto"/>
                                                    <w:bottom w:val="none" w:sz="0" w:space="0" w:color="auto"/>
                                                    <w:right w:val="none" w:sz="0" w:space="0" w:color="auto"/>
                                                  </w:divBdr>
                                                  <w:divsChild>
                                                    <w:div w:id="1739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6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wallonie.intra\PARTAGES\Hierarchique\PUB-O4040000\DEBD\3.DPED\3.6%20Recherche\3.6.5%20AIE%20Implementing%20Agreements\10%20AIE%20review\AIE-review-2015-donn&#233;es-2014\synthese-1999-2014-pour-graph-cartographie_LP_H2_PV_PowerStorage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llonie.intra\PARTAGES\Hierarchique\PUB-O4040000\DEBD\3.DPED\3.6%20Recherche\3.6.5%20AIE%20Implementing%20Agreements\10%20AIE%20review\AIE-review-2015-donn&#233;es-2014\synthese-1999-2014-pour-graph-cartographie_LP_H2_PV_PowerStorage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style val="26"/>
  <c:chart>
    <c:title>
      <c:tx>
        <c:rich>
          <a:bodyPr/>
          <a:lstStyle/>
          <a:p>
            <a:pPr>
              <a:defRPr sz="1400"/>
            </a:pPr>
            <a:r>
              <a:rPr lang="de-DE" sz="1400"/>
              <a:t>Government Energy R&amp;D funding in Wallonia</a:t>
            </a:r>
          </a:p>
          <a:p>
            <a:pPr>
              <a:defRPr sz="1400"/>
            </a:pPr>
            <a:r>
              <a:rPr lang="de-DE" sz="1400"/>
              <a:t>1999 to 2014</a:t>
            </a:r>
          </a:p>
        </c:rich>
      </c:tx>
      <c:layout>
        <c:manualLayout>
          <c:xMode val="edge"/>
          <c:yMode val="edge"/>
          <c:x val="0.27427248677248706"/>
          <c:y val="1.3558606681702453E-4"/>
        </c:manualLayout>
      </c:layout>
    </c:title>
    <c:plotArea>
      <c:layout>
        <c:manualLayout>
          <c:layoutTarget val="inner"/>
          <c:xMode val="edge"/>
          <c:yMode val="edge"/>
          <c:x val="6.2500000000000139E-2"/>
          <c:y val="0.12478920741989882"/>
          <c:w val="0.72083333333333866"/>
          <c:h val="0.76559865092749368"/>
        </c:manualLayout>
      </c:layout>
      <c:barChart>
        <c:barDir val="col"/>
        <c:grouping val="stacked"/>
        <c:ser>
          <c:idx val="0"/>
          <c:order val="0"/>
          <c:tx>
            <c:strRef>
              <c:f>Feuil2!$A$24:$B$24</c:f>
              <c:strCache>
                <c:ptCount val="1"/>
                <c:pt idx="0">
                  <c:v>Conservation</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Feuil2!$C$24:$R$24</c:f>
              <c:numCache>
                <c:formatCode>0.000</c:formatCode>
                <c:ptCount val="16"/>
                <c:pt idx="0">
                  <c:v>3.4931009744694457</c:v>
                </c:pt>
                <c:pt idx="1">
                  <c:v>3.2573003400544032</c:v>
                </c:pt>
                <c:pt idx="2">
                  <c:v>3.4484214088965612</c:v>
                </c:pt>
                <c:pt idx="3">
                  <c:v>2.3797778378230987</c:v>
                </c:pt>
                <c:pt idx="4">
                  <c:v>5.5303689299999998</c:v>
                </c:pt>
                <c:pt idx="5">
                  <c:v>4.1899480000000002</c:v>
                </c:pt>
                <c:pt idx="6">
                  <c:v>4.1933149999999735</c:v>
                </c:pt>
                <c:pt idx="7">
                  <c:v>5.3004930000000003</c:v>
                </c:pt>
                <c:pt idx="8">
                  <c:v>11.793103233333301</c:v>
                </c:pt>
                <c:pt idx="9">
                  <c:v>7.5068909149999996</c:v>
                </c:pt>
                <c:pt idx="10">
                  <c:v>17.392863018000035</c:v>
                </c:pt>
                <c:pt idx="11">
                  <c:v>8.8834112025000067</c:v>
                </c:pt>
                <c:pt idx="12">
                  <c:v>22.877259197999997</c:v>
                </c:pt>
                <c:pt idx="13">
                  <c:v>39.206776215000012</c:v>
                </c:pt>
                <c:pt idx="14">
                  <c:v>31.255769425833329</c:v>
                </c:pt>
                <c:pt idx="15">
                  <c:v>35.050604610499995</c:v>
                </c:pt>
              </c:numCache>
            </c:numRef>
          </c:val>
        </c:ser>
        <c:ser>
          <c:idx val="1"/>
          <c:order val="1"/>
          <c:tx>
            <c:strRef>
              <c:f>Feuil2!$A$25:$B$25</c:f>
              <c:strCache>
                <c:ptCount val="1"/>
                <c:pt idx="0">
                  <c:v>Fossil fuels</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Feuil2!$C$25:$R$25</c:f>
              <c:numCache>
                <c:formatCode>0.000</c:formatCode>
                <c:ptCount val="16"/>
                <c:pt idx="0">
                  <c:v>0.81962500154933804</c:v>
                </c:pt>
                <c:pt idx="1">
                  <c:v>0.41773309200000003</c:v>
                </c:pt>
                <c:pt idx="2">
                  <c:v>0.1636714460000003</c:v>
                </c:pt>
                <c:pt idx="3">
                  <c:v>0.1944396242925743</c:v>
                </c:pt>
                <c:pt idx="4">
                  <c:v>0.37069423200000001</c:v>
                </c:pt>
                <c:pt idx="5">
                  <c:v>0.47069423200000005</c:v>
                </c:pt>
                <c:pt idx="6">
                  <c:v>0.37069423200000001</c:v>
                </c:pt>
                <c:pt idx="7">
                  <c:v>0.37069423200000001</c:v>
                </c:pt>
                <c:pt idx="8">
                  <c:v>3.7913920000000184E-2</c:v>
                </c:pt>
                <c:pt idx="9">
                  <c:v>0</c:v>
                </c:pt>
                <c:pt idx="10">
                  <c:v>3.6519439799999978</c:v>
                </c:pt>
                <c:pt idx="11">
                  <c:v>6.0518367749999955</c:v>
                </c:pt>
                <c:pt idx="12">
                  <c:v>0</c:v>
                </c:pt>
                <c:pt idx="13">
                  <c:v>2.4577629999999977</c:v>
                </c:pt>
                <c:pt idx="14">
                  <c:v>0</c:v>
                </c:pt>
                <c:pt idx="15">
                  <c:v>1.5634688399999999</c:v>
                </c:pt>
              </c:numCache>
            </c:numRef>
          </c:val>
        </c:ser>
        <c:ser>
          <c:idx val="2"/>
          <c:order val="2"/>
          <c:tx>
            <c:strRef>
              <c:f>Feuil2!$A$26:$B$26</c:f>
              <c:strCache>
                <c:ptCount val="1"/>
                <c:pt idx="0">
                  <c:v>Renewables</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Feuil2!$C$26:$R$26</c:f>
              <c:numCache>
                <c:formatCode>0.000</c:formatCode>
                <c:ptCount val="16"/>
                <c:pt idx="0">
                  <c:v>1.1821395938016721</c:v>
                </c:pt>
                <c:pt idx="1">
                  <c:v>2.5302132132206574</c:v>
                </c:pt>
                <c:pt idx="2">
                  <c:v>4.8265919102427075</c:v>
                </c:pt>
                <c:pt idx="3">
                  <c:v>2.9028331750946177</c:v>
                </c:pt>
                <c:pt idx="4">
                  <c:v>2.4041262900000002</c:v>
                </c:pt>
                <c:pt idx="5">
                  <c:v>1.83877226</c:v>
                </c:pt>
                <c:pt idx="6">
                  <c:v>2.3828597499999997</c:v>
                </c:pt>
                <c:pt idx="7">
                  <c:v>3.2220367500000129</c:v>
                </c:pt>
                <c:pt idx="8">
                  <c:v>8.6381562066666717</c:v>
                </c:pt>
                <c:pt idx="9">
                  <c:v>5.0807733200000014</c:v>
                </c:pt>
                <c:pt idx="10">
                  <c:v>5.0066373799999955</c:v>
                </c:pt>
                <c:pt idx="11">
                  <c:v>9.5692916325000006</c:v>
                </c:pt>
                <c:pt idx="12">
                  <c:v>16.249367289999896</c:v>
                </c:pt>
                <c:pt idx="13">
                  <c:v>8.6754765020000555</c:v>
                </c:pt>
                <c:pt idx="14">
                  <c:v>8.1044480303333337</c:v>
                </c:pt>
                <c:pt idx="15">
                  <c:v>6.8813870450000003</c:v>
                </c:pt>
              </c:numCache>
            </c:numRef>
          </c:val>
        </c:ser>
        <c:ser>
          <c:idx val="3"/>
          <c:order val="3"/>
          <c:tx>
            <c:strRef>
              <c:f>Feuil2!$A$27:$B$27</c:f>
              <c:strCache>
                <c:ptCount val="1"/>
                <c:pt idx="0">
                  <c:v>Nuclear fusion</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Feuil2!$C$27:$R$27</c:f>
              <c:numCache>
                <c:formatCode>0.000</c:formatCode>
                <c:ptCount val="16"/>
                <c:pt idx="0">
                  <c:v>0</c:v>
                </c:pt>
                <c:pt idx="1">
                  <c:v>0</c:v>
                </c:pt>
                <c:pt idx="2">
                  <c:v>0</c:v>
                </c:pt>
                <c:pt idx="3">
                  <c:v>0</c:v>
                </c:pt>
                <c:pt idx="4">
                  <c:v>0</c:v>
                </c:pt>
                <c:pt idx="5">
                  <c:v>0</c:v>
                </c:pt>
                <c:pt idx="6">
                  <c:v>0</c:v>
                </c:pt>
                <c:pt idx="7">
                  <c:v>0</c:v>
                </c:pt>
                <c:pt idx="8">
                  <c:v>0</c:v>
                </c:pt>
                <c:pt idx="9">
                  <c:v>0</c:v>
                </c:pt>
                <c:pt idx="10">
                  <c:v>0.8</c:v>
                </c:pt>
                <c:pt idx="11">
                  <c:v>0.15200000000000041</c:v>
                </c:pt>
                <c:pt idx="12">
                  <c:v>0.55000000000000004</c:v>
                </c:pt>
                <c:pt idx="13">
                  <c:v>0.66100000000000358</c:v>
                </c:pt>
                <c:pt idx="14">
                  <c:v>0.87460000000000371</c:v>
                </c:pt>
                <c:pt idx="15">
                  <c:v>0.125</c:v>
                </c:pt>
              </c:numCache>
            </c:numRef>
          </c:val>
        </c:ser>
        <c:ser>
          <c:idx val="4"/>
          <c:order val="4"/>
          <c:tx>
            <c:strRef>
              <c:f>Feuil2!$A$28:$B$28</c:f>
              <c:strCache>
                <c:ptCount val="1"/>
                <c:pt idx="0">
                  <c:v>Power and storage techn</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Feuil2!$C$28:$R$28</c:f>
              <c:numCache>
                <c:formatCode>0.000</c:formatCode>
                <c:ptCount val="16"/>
                <c:pt idx="0">
                  <c:v>2.7746121333964577</c:v>
                </c:pt>
                <c:pt idx="1">
                  <c:v>1.3960619634654525</c:v>
                </c:pt>
                <c:pt idx="2">
                  <c:v>1.0659680118195634</c:v>
                </c:pt>
                <c:pt idx="3">
                  <c:v>1.11552086147958</c:v>
                </c:pt>
                <c:pt idx="4">
                  <c:v>0.89362000000000275</c:v>
                </c:pt>
                <c:pt idx="5">
                  <c:v>0.96090600000000004</c:v>
                </c:pt>
                <c:pt idx="6">
                  <c:v>0.87778400000000312</c:v>
                </c:pt>
                <c:pt idx="7">
                  <c:v>0.959337</c:v>
                </c:pt>
                <c:pt idx="8">
                  <c:v>2.93302145</c:v>
                </c:pt>
                <c:pt idx="9">
                  <c:v>2.5789430099999997</c:v>
                </c:pt>
                <c:pt idx="10">
                  <c:v>3.2733842500000221</c:v>
                </c:pt>
                <c:pt idx="11">
                  <c:v>3.3080617399999999</c:v>
                </c:pt>
                <c:pt idx="12">
                  <c:v>1.2379849999999937</c:v>
                </c:pt>
                <c:pt idx="13">
                  <c:v>9.9135307900000047</c:v>
                </c:pt>
                <c:pt idx="14">
                  <c:v>4.64089448</c:v>
                </c:pt>
                <c:pt idx="15">
                  <c:v>7.7914964150000134</c:v>
                </c:pt>
              </c:numCache>
            </c:numRef>
          </c:val>
        </c:ser>
        <c:ser>
          <c:idx val="5"/>
          <c:order val="5"/>
          <c:tx>
            <c:strRef>
              <c:f>Feuil2!$A$29:$B$29</c:f>
              <c:strCache>
                <c:ptCount val="1"/>
                <c:pt idx="0">
                  <c:v>Others (including H2 FC)</c:v>
                </c:pt>
              </c:strCache>
            </c:strRef>
          </c:tx>
          <c:cat>
            <c:numRef>
              <c:f>Feuil2!$C$23:$R$23</c:f>
              <c:numCache>
                <c:formatCode>#,##0</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Feuil2!$C$29:$R$29</c:f>
              <c:numCache>
                <c:formatCode>0.000</c:formatCode>
                <c:ptCount val="16"/>
                <c:pt idx="0">
                  <c:v>0.40920061775066552</c:v>
                </c:pt>
                <c:pt idx="1">
                  <c:v>1.3518406195021375</c:v>
                </c:pt>
                <c:pt idx="2">
                  <c:v>0.37615420204723632</c:v>
                </c:pt>
                <c:pt idx="3">
                  <c:v>0.85523266046767599</c:v>
                </c:pt>
                <c:pt idx="4">
                  <c:v>0.78362107400000358</c:v>
                </c:pt>
                <c:pt idx="5">
                  <c:v>1.3401749999999999</c:v>
                </c:pt>
                <c:pt idx="6">
                  <c:v>0.61021392000000008</c:v>
                </c:pt>
                <c:pt idx="7">
                  <c:v>0.99635999999999958</c:v>
                </c:pt>
                <c:pt idx="8">
                  <c:v>0.60924250000000002</c:v>
                </c:pt>
                <c:pt idx="9">
                  <c:v>1.6548875000000083</c:v>
                </c:pt>
                <c:pt idx="10">
                  <c:v>4.3333300000000033E-2</c:v>
                </c:pt>
                <c:pt idx="11">
                  <c:v>0.45169329999999996</c:v>
                </c:pt>
                <c:pt idx="12">
                  <c:v>0.96475426700000277</c:v>
                </c:pt>
                <c:pt idx="13">
                  <c:v>0.76691875000000065</c:v>
                </c:pt>
                <c:pt idx="14">
                  <c:v>0.40368125000000005</c:v>
                </c:pt>
                <c:pt idx="15">
                  <c:v>4.4109133519999855</c:v>
                </c:pt>
              </c:numCache>
            </c:numRef>
          </c:val>
        </c:ser>
        <c:overlap val="100"/>
        <c:axId val="118825344"/>
        <c:axId val="119566720"/>
      </c:barChart>
      <c:catAx>
        <c:axId val="118825344"/>
        <c:scaling>
          <c:orientation val="minMax"/>
        </c:scaling>
        <c:axPos val="b"/>
        <c:title>
          <c:tx>
            <c:rich>
              <a:bodyPr/>
              <a:lstStyle/>
              <a:p>
                <a:pPr>
                  <a:defRPr/>
                </a:pPr>
                <a:r>
                  <a:rPr lang="de-DE"/>
                  <a:t>year</a:t>
                </a:r>
              </a:p>
            </c:rich>
          </c:tx>
          <c:layout>
            <c:manualLayout>
              <c:xMode val="edge"/>
              <c:yMode val="edge"/>
              <c:x val="0.40625"/>
              <c:y val="0.94266441821248581"/>
            </c:manualLayout>
          </c:layout>
        </c:title>
        <c:numFmt formatCode="0" sourceLinked="0"/>
        <c:tickLblPos val="nextTo"/>
        <c:txPr>
          <a:bodyPr rot="-2700000" vert="horz"/>
          <a:lstStyle/>
          <a:p>
            <a:pPr>
              <a:defRPr/>
            </a:pPr>
            <a:endParaRPr lang="fr-FR"/>
          </a:p>
        </c:txPr>
        <c:crossAx val="119566720"/>
        <c:crosses val="autoZero"/>
        <c:auto val="1"/>
        <c:lblAlgn val="ctr"/>
        <c:lblOffset val="100"/>
        <c:tickLblSkip val="1"/>
        <c:tickMarkSkip val="1"/>
      </c:catAx>
      <c:valAx>
        <c:axId val="119566720"/>
        <c:scaling>
          <c:orientation val="minMax"/>
        </c:scaling>
        <c:axPos val="l"/>
        <c:majorGridlines/>
        <c:title>
          <c:tx>
            <c:rich>
              <a:bodyPr/>
              <a:lstStyle/>
              <a:p>
                <a:pPr>
                  <a:defRPr/>
                </a:pPr>
                <a:r>
                  <a:rPr lang="de-DE"/>
                  <a:t>M €</a:t>
                </a:r>
              </a:p>
            </c:rich>
          </c:tx>
          <c:layout>
            <c:manualLayout>
              <c:xMode val="edge"/>
              <c:yMode val="edge"/>
              <c:x val="1.1458333333333341E-2"/>
              <c:y val="0.44350758853288458"/>
            </c:manualLayout>
          </c:layout>
        </c:title>
        <c:numFmt formatCode="#,##0" sourceLinked="0"/>
        <c:tickLblPos val="nextTo"/>
        <c:txPr>
          <a:bodyPr rot="0" vert="horz"/>
          <a:lstStyle/>
          <a:p>
            <a:pPr>
              <a:defRPr/>
            </a:pPr>
            <a:endParaRPr lang="fr-FR"/>
          </a:p>
        </c:txPr>
        <c:crossAx val="118825344"/>
        <c:crosses val="autoZero"/>
        <c:crossBetween val="between"/>
      </c:valAx>
    </c:plotArea>
    <c:legend>
      <c:legendPos val="r"/>
      <c:layout>
        <c:manualLayout>
          <c:xMode val="edge"/>
          <c:yMode val="edge"/>
          <c:x val="0.79583333333333361"/>
          <c:y val="0.17313097245643624"/>
          <c:w val="0.15746417114527486"/>
          <c:h val="0.661187166106766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BE"/>
  <c:style val="10"/>
  <c:chart>
    <c:title>
      <c:tx>
        <c:rich>
          <a:bodyPr/>
          <a:lstStyle/>
          <a:p>
            <a:pPr>
              <a:defRPr sz="1400"/>
            </a:pPr>
            <a:r>
              <a:rPr lang="de-DE" sz="1400"/>
              <a:t>Government Renewable Energy R&amp;D Spending in Wallonia 1999 to 2014</a:t>
            </a:r>
          </a:p>
        </c:rich>
      </c:tx>
      <c:layout>
        <c:manualLayout>
          <c:xMode val="edge"/>
          <c:yMode val="edge"/>
          <c:x val="0.11529982363315699"/>
          <c:y val="2.5329198076408602E-3"/>
        </c:manualLayout>
      </c:layout>
    </c:title>
    <c:plotArea>
      <c:layout>
        <c:manualLayout>
          <c:layoutTarget val="inner"/>
          <c:xMode val="edge"/>
          <c:yMode val="edge"/>
          <c:x val="6.25E-2"/>
          <c:y val="0.12478920741989882"/>
          <c:w val="0.7895833333333333"/>
          <c:h val="0.76110174255200203"/>
        </c:manualLayout>
      </c:layout>
      <c:barChart>
        <c:barDir val="col"/>
        <c:grouping val="stacked"/>
        <c:ser>
          <c:idx val="1"/>
          <c:order val="0"/>
          <c:tx>
            <c:strRef>
              <c:f>Feuil3!$A$71</c:f>
              <c:strCache>
                <c:ptCount val="1"/>
                <c:pt idx="0">
                  <c:v>Solar</c:v>
                </c:pt>
              </c:strCache>
            </c:strRef>
          </c:tx>
          <c:cat>
            <c:numRef>
              <c:f>Feuil3!$B$70:$Q$70</c:f>
              <c:numCache>
                <c:formatCode>0</c:formatCode>
                <c:ptCount val="16"/>
                <c:pt idx="0" formatCode="#,##0">
                  <c:v>1999</c:v>
                </c:pt>
                <c:pt idx="1">
                  <c:v>2000</c:v>
                </c:pt>
                <c:pt idx="2">
                  <c:v>2001</c:v>
                </c:pt>
                <c:pt idx="3">
                  <c:v>2002</c:v>
                </c:pt>
                <c:pt idx="4">
                  <c:v>2003</c:v>
                </c:pt>
                <c:pt idx="5">
                  <c:v>2004</c:v>
                </c:pt>
                <c:pt idx="6">
                  <c:v>2005</c:v>
                </c:pt>
                <c:pt idx="7">
                  <c:v>2006</c:v>
                </c:pt>
                <c:pt idx="8">
                  <c:v>2007</c:v>
                </c:pt>
                <c:pt idx="9" formatCode="#,##0">
                  <c:v>2008</c:v>
                </c:pt>
                <c:pt idx="10" formatCode="#,##0">
                  <c:v>2009</c:v>
                </c:pt>
                <c:pt idx="11" formatCode="#,##0">
                  <c:v>2010</c:v>
                </c:pt>
                <c:pt idx="12" formatCode="#,##0">
                  <c:v>2011</c:v>
                </c:pt>
                <c:pt idx="13" formatCode="#,##0">
                  <c:v>2012</c:v>
                </c:pt>
                <c:pt idx="14" formatCode="#,##0">
                  <c:v>2013</c:v>
                </c:pt>
                <c:pt idx="15" formatCode="#,##0">
                  <c:v>2014</c:v>
                </c:pt>
              </c:numCache>
            </c:numRef>
          </c:cat>
          <c:val>
            <c:numRef>
              <c:f>Feuil3!$B$71:$Q$71</c:f>
              <c:numCache>
                <c:formatCode>#,##0.000000</c:formatCode>
                <c:ptCount val="16"/>
                <c:pt idx="0">
                  <c:v>0.68605966301354604</c:v>
                </c:pt>
                <c:pt idx="1">
                  <c:v>0.62039898958599315</c:v>
                </c:pt>
                <c:pt idx="2">
                  <c:v>1.2493667559909583</c:v>
                </c:pt>
                <c:pt idx="3">
                  <c:v>1.3882037387301407</c:v>
                </c:pt>
                <c:pt idx="4">
                  <c:v>1.84931771</c:v>
                </c:pt>
                <c:pt idx="5">
                  <c:v>0.67368094999999995</c:v>
                </c:pt>
                <c:pt idx="6">
                  <c:v>0.64195774999999999</c:v>
                </c:pt>
                <c:pt idx="7">
                  <c:v>2.114929750000011</c:v>
                </c:pt>
                <c:pt idx="8">
                  <c:v>3.6553661666666666</c:v>
                </c:pt>
                <c:pt idx="9">
                  <c:v>3.4820110500000001</c:v>
                </c:pt>
                <c:pt idx="10">
                  <c:v>2.63486325</c:v>
                </c:pt>
                <c:pt idx="11">
                  <c:v>4.4557504400000001</c:v>
                </c:pt>
                <c:pt idx="12">
                  <c:v>5.1736579900000024</c:v>
                </c:pt>
                <c:pt idx="13">
                  <c:v>3.6026964219999997</c:v>
                </c:pt>
                <c:pt idx="14">
                  <c:v>3.5901601903333331</c:v>
                </c:pt>
                <c:pt idx="15">
                  <c:v>1.9682129900000072</c:v>
                </c:pt>
              </c:numCache>
            </c:numRef>
          </c:val>
        </c:ser>
        <c:ser>
          <c:idx val="2"/>
          <c:order val="1"/>
          <c:tx>
            <c:strRef>
              <c:f>Feuil3!$A$72</c:f>
              <c:strCache>
                <c:ptCount val="1"/>
                <c:pt idx="0">
                  <c:v>Wind</c:v>
                </c:pt>
              </c:strCache>
            </c:strRef>
          </c:tx>
          <c:cat>
            <c:numRef>
              <c:f>Feuil3!$B$70:$Q$70</c:f>
              <c:numCache>
                <c:formatCode>0</c:formatCode>
                <c:ptCount val="16"/>
                <c:pt idx="0" formatCode="#,##0">
                  <c:v>1999</c:v>
                </c:pt>
                <c:pt idx="1">
                  <c:v>2000</c:v>
                </c:pt>
                <c:pt idx="2">
                  <c:v>2001</c:v>
                </c:pt>
                <c:pt idx="3">
                  <c:v>2002</c:v>
                </c:pt>
                <c:pt idx="4">
                  <c:v>2003</c:v>
                </c:pt>
                <c:pt idx="5">
                  <c:v>2004</c:v>
                </c:pt>
                <c:pt idx="6">
                  <c:v>2005</c:v>
                </c:pt>
                <c:pt idx="7">
                  <c:v>2006</c:v>
                </c:pt>
                <c:pt idx="8">
                  <c:v>2007</c:v>
                </c:pt>
                <c:pt idx="9" formatCode="#,##0">
                  <c:v>2008</c:v>
                </c:pt>
                <c:pt idx="10" formatCode="#,##0">
                  <c:v>2009</c:v>
                </c:pt>
                <c:pt idx="11" formatCode="#,##0">
                  <c:v>2010</c:v>
                </c:pt>
                <c:pt idx="12" formatCode="#,##0">
                  <c:v>2011</c:v>
                </c:pt>
                <c:pt idx="13" formatCode="#,##0">
                  <c:v>2012</c:v>
                </c:pt>
                <c:pt idx="14" formatCode="#,##0">
                  <c:v>2013</c:v>
                </c:pt>
                <c:pt idx="15" formatCode="#,##0">
                  <c:v>2014</c:v>
                </c:pt>
              </c:numCache>
            </c:numRef>
          </c:cat>
          <c:val>
            <c:numRef>
              <c:f>Feuil3!$B$72:$Q$72</c:f>
              <c:numCache>
                <c:formatCode>#,##0.000000</c:formatCode>
                <c:ptCount val="16"/>
                <c:pt idx="0">
                  <c:v>4.9578000937037819E-2</c:v>
                </c:pt>
                <c:pt idx="1">
                  <c:v>6.1972677175699493E-2</c:v>
                </c:pt>
                <c:pt idx="2">
                  <c:v>4.9578704954648334E-2</c:v>
                </c:pt>
                <c:pt idx="3">
                  <c:v>0.34705093468253517</c:v>
                </c:pt>
                <c:pt idx="4">
                  <c:v>5.1000000000000004E-2</c:v>
                </c:pt>
                <c:pt idx="5">
                  <c:v>5.1000000000000004E-2</c:v>
                </c:pt>
                <c:pt idx="6">
                  <c:v>0.56545000000000001</c:v>
                </c:pt>
                <c:pt idx="7">
                  <c:v>5.1000000000000004E-2</c:v>
                </c:pt>
                <c:pt idx="8">
                  <c:v>5.3000000000000012E-2</c:v>
                </c:pt>
                <c:pt idx="9">
                  <c:v>1.28214947</c:v>
                </c:pt>
                <c:pt idx="10">
                  <c:v>0.419437</c:v>
                </c:pt>
                <c:pt idx="11">
                  <c:v>0.65376909000000372</c:v>
                </c:pt>
                <c:pt idx="12">
                  <c:v>3.798392310000001</c:v>
                </c:pt>
                <c:pt idx="13">
                  <c:v>0.76234500000000371</c:v>
                </c:pt>
                <c:pt idx="14">
                  <c:v>0.45090331000000006</c:v>
                </c:pt>
                <c:pt idx="15">
                  <c:v>0.95434800499999994</c:v>
                </c:pt>
              </c:numCache>
            </c:numRef>
          </c:val>
        </c:ser>
        <c:ser>
          <c:idx val="3"/>
          <c:order val="2"/>
          <c:tx>
            <c:strRef>
              <c:f>Feuil3!$A$73</c:f>
              <c:strCache>
                <c:ptCount val="1"/>
                <c:pt idx="0">
                  <c:v>Geothermal</c:v>
                </c:pt>
              </c:strCache>
            </c:strRef>
          </c:tx>
          <c:cat>
            <c:numRef>
              <c:f>Feuil3!$B$70:$Q$70</c:f>
              <c:numCache>
                <c:formatCode>0</c:formatCode>
                <c:ptCount val="16"/>
                <c:pt idx="0" formatCode="#,##0">
                  <c:v>1999</c:v>
                </c:pt>
                <c:pt idx="1">
                  <c:v>2000</c:v>
                </c:pt>
                <c:pt idx="2">
                  <c:v>2001</c:v>
                </c:pt>
                <c:pt idx="3">
                  <c:v>2002</c:v>
                </c:pt>
                <c:pt idx="4">
                  <c:v>2003</c:v>
                </c:pt>
                <c:pt idx="5">
                  <c:v>2004</c:v>
                </c:pt>
                <c:pt idx="6">
                  <c:v>2005</c:v>
                </c:pt>
                <c:pt idx="7">
                  <c:v>2006</c:v>
                </c:pt>
                <c:pt idx="8">
                  <c:v>2007</c:v>
                </c:pt>
                <c:pt idx="9" formatCode="#,##0">
                  <c:v>2008</c:v>
                </c:pt>
                <c:pt idx="10" formatCode="#,##0">
                  <c:v>2009</c:v>
                </c:pt>
                <c:pt idx="11" formatCode="#,##0">
                  <c:v>2010</c:v>
                </c:pt>
                <c:pt idx="12" formatCode="#,##0">
                  <c:v>2011</c:v>
                </c:pt>
                <c:pt idx="13" formatCode="#,##0">
                  <c:v>2012</c:v>
                </c:pt>
                <c:pt idx="14" formatCode="#,##0">
                  <c:v>2013</c:v>
                </c:pt>
                <c:pt idx="15" formatCode="#,##0">
                  <c:v>2014</c:v>
                </c:pt>
              </c:numCache>
            </c:numRef>
          </c:cat>
          <c:val>
            <c:numRef>
              <c:f>Feuil3!$B$73:$Q$73</c:f>
              <c:numCache>
                <c:formatCode>#,##0.000000</c:formatCode>
                <c:ptCount val="16"/>
                <c:pt idx="0">
                  <c:v>0</c:v>
                </c:pt>
                <c:pt idx="1">
                  <c:v>0</c:v>
                </c:pt>
                <c:pt idx="2">
                  <c:v>0</c:v>
                </c:pt>
                <c:pt idx="3">
                  <c:v>0</c:v>
                </c:pt>
                <c:pt idx="4">
                  <c:v>0</c:v>
                </c:pt>
                <c:pt idx="5">
                  <c:v>0.23543090000000041</c:v>
                </c:pt>
                <c:pt idx="6">
                  <c:v>0</c:v>
                </c:pt>
                <c:pt idx="7">
                  <c:v>0</c:v>
                </c:pt>
                <c:pt idx="8">
                  <c:v>0</c:v>
                </c:pt>
                <c:pt idx="9">
                  <c:v>0</c:v>
                </c:pt>
                <c:pt idx="10">
                  <c:v>0</c:v>
                </c:pt>
                <c:pt idx="11">
                  <c:v>0.1386</c:v>
                </c:pt>
                <c:pt idx="12">
                  <c:v>0.54737404000000001</c:v>
                </c:pt>
                <c:pt idx="13">
                  <c:v>0.67109791000000418</c:v>
                </c:pt>
                <c:pt idx="14">
                  <c:v>0.62611110000000003</c:v>
                </c:pt>
                <c:pt idx="15">
                  <c:v>0.17972430000000073</c:v>
                </c:pt>
              </c:numCache>
            </c:numRef>
          </c:val>
        </c:ser>
        <c:ser>
          <c:idx val="4"/>
          <c:order val="3"/>
          <c:tx>
            <c:strRef>
              <c:f>Feuil3!$A$74</c:f>
              <c:strCache>
                <c:ptCount val="1"/>
                <c:pt idx="0">
                  <c:v>Biomass</c:v>
                </c:pt>
              </c:strCache>
            </c:strRef>
          </c:tx>
          <c:cat>
            <c:numRef>
              <c:f>Feuil3!$B$70:$Q$70</c:f>
              <c:numCache>
                <c:formatCode>0</c:formatCode>
                <c:ptCount val="16"/>
                <c:pt idx="0" formatCode="#,##0">
                  <c:v>1999</c:v>
                </c:pt>
                <c:pt idx="1">
                  <c:v>2000</c:v>
                </c:pt>
                <c:pt idx="2">
                  <c:v>2001</c:v>
                </c:pt>
                <c:pt idx="3">
                  <c:v>2002</c:v>
                </c:pt>
                <c:pt idx="4">
                  <c:v>2003</c:v>
                </c:pt>
                <c:pt idx="5">
                  <c:v>2004</c:v>
                </c:pt>
                <c:pt idx="6">
                  <c:v>2005</c:v>
                </c:pt>
                <c:pt idx="7">
                  <c:v>2006</c:v>
                </c:pt>
                <c:pt idx="8">
                  <c:v>2007</c:v>
                </c:pt>
                <c:pt idx="9" formatCode="#,##0">
                  <c:v>2008</c:v>
                </c:pt>
                <c:pt idx="10" formatCode="#,##0">
                  <c:v>2009</c:v>
                </c:pt>
                <c:pt idx="11" formatCode="#,##0">
                  <c:v>2010</c:v>
                </c:pt>
                <c:pt idx="12" formatCode="#,##0">
                  <c:v>2011</c:v>
                </c:pt>
                <c:pt idx="13" formatCode="#,##0">
                  <c:v>2012</c:v>
                </c:pt>
                <c:pt idx="14" formatCode="#,##0">
                  <c:v>2013</c:v>
                </c:pt>
                <c:pt idx="15" formatCode="#,##0">
                  <c:v>2014</c:v>
                </c:pt>
              </c:numCache>
            </c:numRef>
          </c:cat>
          <c:val>
            <c:numRef>
              <c:f>Feuil3!$B$74:$Q$74</c:f>
              <c:numCache>
                <c:formatCode>#,##0.000000</c:formatCode>
                <c:ptCount val="16"/>
                <c:pt idx="0">
                  <c:v>4.9578000937037819E-2</c:v>
                </c:pt>
                <c:pt idx="1">
                  <c:v>1.1035716895678958</c:v>
                </c:pt>
                <c:pt idx="2">
                  <c:v>2.2666120887756294</c:v>
                </c:pt>
                <c:pt idx="3">
                  <c:v>1.1155208614795773</c:v>
                </c:pt>
                <c:pt idx="4">
                  <c:v>0.45280858000000185</c:v>
                </c:pt>
                <c:pt idx="5">
                  <c:v>0.82766041000000312</c:v>
                </c:pt>
                <c:pt idx="6">
                  <c:v>0.47695200000000032</c:v>
                </c:pt>
                <c:pt idx="7">
                  <c:v>1.005107</c:v>
                </c:pt>
                <c:pt idx="8">
                  <c:v>2.8642900400000002</c:v>
                </c:pt>
                <c:pt idx="9">
                  <c:v>0.26661280000000032</c:v>
                </c:pt>
                <c:pt idx="10">
                  <c:v>1.87946813</c:v>
                </c:pt>
                <c:pt idx="11">
                  <c:v>4.2423106024999955</c:v>
                </c:pt>
                <c:pt idx="12">
                  <c:v>6.6265649499999641</c:v>
                </c:pt>
                <c:pt idx="13">
                  <c:v>3.5893371700000012</c:v>
                </c:pt>
                <c:pt idx="14">
                  <c:v>3.2885171800000106</c:v>
                </c:pt>
                <c:pt idx="15">
                  <c:v>3.7291017500000216</c:v>
                </c:pt>
              </c:numCache>
            </c:numRef>
          </c:val>
        </c:ser>
        <c:ser>
          <c:idx val="5"/>
          <c:order val="4"/>
          <c:tx>
            <c:strRef>
              <c:f>Feuil3!$A$75</c:f>
              <c:strCache>
                <c:ptCount val="1"/>
                <c:pt idx="0">
                  <c:v>Hydro</c:v>
                </c:pt>
              </c:strCache>
            </c:strRef>
          </c:tx>
          <c:cat>
            <c:numRef>
              <c:f>Feuil3!$B$70:$Q$70</c:f>
              <c:numCache>
                <c:formatCode>0</c:formatCode>
                <c:ptCount val="16"/>
                <c:pt idx="0" formatCode="#,##0">
                  <c:v>1999</c:v>
                </c:pt>
                <c:pt idx="1">
                  <c:v>2000</c:v>
                </c:pt>
                <c:pt idx="2">
                  <c:v>2001</c:v>
                </c:pt>
                <c:pt idx="3">
                  <c:v>2002</c:v>
                </c:pt>
                <c:pt idx="4">
                  <c:v>2003</c:v>
                </c:pt>
                <c:pt idx="5">
                  <c:v>2004</c:v>
                </c:pt>
                <c:pt idx="6">
                  <c:v>2005</c:v>
                </c:pt>
                <c:pt idx="7">
                  <c:v>2006</c:v>
                </c:pt>
                <c:pt idx="8">
                  <c:v>2007</c:v>
                </c:pt>
                <c:pt idx="9" formatCode="#,##0">
                  <c:v>2008</c:v>
                </c:pt>
                <c:pt idx="10" formatCode="#,##0">
                  <c:v>2009</c:v>
                </c:pt>
                <c:pt idx="11" formatCode="#,##0">
                  <c:v>2010</c:v>
                </c:pt>
                <c:pt idx="12" formatCode="#,##0">
                  <c:v>2011</c:v>
                </c:pt>
                <c:pt idx="13" formatCode="#,##0">
                  <c:v>2012</c:v>
                </c:pt>
                <c:pt idx="14" formatCode="#,##0">
                  <c:v>2013</c:v>
                </c:pt>
                <c:pt idx="15" formatCode="#,##0">
                  <c:v>2014</c:v>
                </c:pt>
              </c:numCache>
            </c:numRef>
          </c:cat>
          <c:val>
            <c:numRef>
              <c:f>Feuil3!$B$75:$Q$75</c:f>
              <c:numCache>
                <c:formatCode>#,##0.000000</c:formatCode>
                <c:ptCount val="16"/>
                <c:pt idx="0">
                  <c:v>0.39692392891405653</c:v>
                </c:pt>
                <c:pt idx="1">
                  <c:v>0.74426985689106862</c:v>
                </c:pt>
                <c:pt idx="2">
                  <c:v>1.2610343605214678</c:v>
                </c:pt>
                <c:pt idx="3">
                  <c:v>5.2057640202380323E-2</c:v>
                </c:pt>
                <c:pt idx="4">
                  <c:v>5.1000000000000004E-2</c:v>
                </c:pt>
                <c:pt idx="5">
                  <c:v>5.1000000000000004E-2</c:v>
                </c:pt>
                <c:pt idx="6">
                  <c:v>0.69850000000000001</c:v>
                </c:pt>
                <c:pt idx="7">
                  <c:v>5.1000000000000004E-2</c:v>
                </c:pt>
                <c:pt idx="8">
                  <c:v>2.0655000000000001</c:v>
                </c:pt>
                <c:pt idx="9">
                  <c:v>0.05</c:v>
                </c:pt>
                <c:pt idx="10">
                  <c:v>7.2869000000000003E-2</c:v>
                </c:pt>
                <c:pt idx="11">
                  <c:v>7.8861500000000001E-2</c:v>
                </c:pt>
                <c:pt idx="12">
                  <c:v>0.103378</c:v>
                </c:pt>
                <c:pt idx="13">
                  <c:v>0.05</c:v>
                </c:pt>
                <c:pt idx="14">
                  <c:v>0.14875625000000084</c:v>
                </c:pt>
                <c:pt idx="15">
                  <c:v>0.05</c:v>
                </c:pt>
              </c:numCache>
            </c:numRef>
          </c:val>
        </c:ser>
        <c:overlap val="100"/>
        <c:axId val="84161664"/>
        <c:axId val="84163584"/>
      </c:barChart>
      <c:catAx>
        <c:axId val="84161664"/>
        <c:scaling>
          <c:orientation val="minMax"/>
        </c:scaling>
        <c:axPos val="b"/>
        <c:title>
          <c:tx>
            <c:rich>
              <a:bodyPr/>
              <a:lstStyle/>
              <a:p>
                <a:pPr>
                  <a:defRPr/>
                </a:pPr>
                <a:r>
                  <a:rPr lang="de-DE"/>
                  <a:t>Year</a:t>
                </a:r>
              </a:p>
            </c:rich>
          </c:tx>
          <c:layout>
            <c:manualLayout>
              <c:xMode val="edge"/>
              <c:yMode val="edge"/>
              <c:x val="0.46145833333333336"/>
              <c:y val="0.94266441821248548"/>
            </c:manualLayout>
          </c:layout>
        </c:title>
        <c:numFmt formatCode="#,##0" sourceLinked="1"/>
        <c:tickLblPos val="nextTo"/>
        <c:txPr>
          <a:bodyPr rot="0" vert="horz"/>
          <a:lstStyle/>
          <a:p>
            <a:pPr>
              <a:defRPr/>
            </a:pPr>
            <a:endParaRPr lang="fr-FR"/>
          </a:p>
        </c:txPr>
        <c:crossAx val="84163584"/>
        <c:crosses val="autoZero"/>
        <c:auto val="1"/>
        <c:lblAlgn val="ctr"/>
        <c:lblOffset val="100"/>
        <c:tickLblSkip val="1"/>
        <c:tickMarkSkip val="1"/>
      </c:catAx>
      <c:valAx>
        <c:axId val="84163584"/>
        <c:scaling>
          <c:orientation val="minMax"/>
        </c:scaling>
        <c:axPos val="l"/>
        <c:majorGridlines/>
        <c:title>
          <c:tx>
            <c:rich>
              <a:bodyPr/>
              <a:lstStyle/>
              <a:p>
                <a:pPr>
                  <a:defRPr/>
                </a:pPr>
                <a:r>
                  <a:rPr lang="de-DE"/>
                  <a:t>Million EUR</a:t>
                </a:r>
              </a:p>
            </c:rich>
          </c:tx>
          <c:layout>
            <c:manualLayout>
              <c:xMode val="edge"/>
              <c:yMode val="edge"/>
              <c:x val="1.1458333333333341E-2"/>
              <c:y val="0.4435075885328838"/>
            </c:manualLayout>
          </c:layout>
        </c:title>
        <c:numFmt formatCode="#,##0" sourceLinked="0"/>
        <c:tickLblPos val="nextTo"/>
        <c:txPr>
          <a:bodyPr rot="0" vert="horz"/>
          <a:lstStyle/>
          <a:p>
            <a:pPr>
              <a:defRPr/>
            </a:pPr>
            <a:endParaRPr lang="fr-FR"/>
          </a:p>
        </c:txPr>
        <c:crossAx val="84161664"/>
        <c:crosses val="autoZero"/>
        <c:crossBetween val="between"/>
      </c:valAx>
    </c:plotArea>
    <c:legend>
      <c:legendPos val="r"/>
      <c:layout>
        <c:manualLayout>
          <c:xMode val="edge"/>
          <c:yMode val="edge"/>
          <c:x val="0.86354166666666665"/>
          <c:y val="0.32152894884767308"/>
          <c:w val="0.1322916666666667"/>
          <c:h val="0.44406970207982038"/>
        </c:manualLayout>
      </c:layou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3321C-FD67-4B3F-AAF4-C7F81B78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3721</Words>
  <Characters>20466</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8</cp:revision>
  <cp:lastPrinted>2017-03-09T13:35:00Z</cp:lastPrinted>
  <dcterms:created xsi:type="dcterms:W3CDTF">2017-02-27T14:02:00Z</dcterms:created>
  <dcterms:modified xsi:type="dcterms:W3CDTF">2017-03-09T13:35:00Z</dcterms:modified>
</cp:coreProperties>
</file>