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32" w:rsidRPr="008779CD" w:rsidRDefault="004F2A77" w:rsidP="004F2A77">
      <w:pPr>
        <w:rPr>
          <w:rFonts w:ascii="Century Gothic" w:hAnsi="Century Gothic"/>
        </w:rPr>
      </w:pPr>
      <w:r w:rsidRPr="008779CD">
        <w:rPr>
          <w:rFonts w:ascii="Century Gothic" w:hAnsi="Century Gothic"/>
          <w:noProof/>
        </w:rPr>
        <w:drawing>
          <wp:inline distT="0" distB="0" distL="0" distR="0">
            <wp:extent cx="1476375" cy="871346"/>
            <wp:effectExtent l="19050" t="0" r="0" b="0"/>
            <wp:docPr id="8" name="Image 1" descr="http://intranet.spw.wallonie.be/files/home/outils/identite_visuelle/chartes_graphique_et_editoriale/logo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pw.wallonie.be/files/home/outils/identite_visuelle/chartes_graphique_et_editoriale/logos/coq_spw_ho.jpg"/>
                    <pic:cNvPicPr>
                      <a:picLocks noChangeAspect="1" noChangeArrowheads="1"/>
                    </pic:cNvPicPr>
                  </pic:nvPicPr>
                  <pic:blipFill>
                    <a:blip r:embed="rId8" cstate="print"/>
                    <a:srcRect/>
                    <a:stretch>
                      <a:fillRect/>
                    </a:stretch>
                  </pic:blipFill>
                  <pic:spPr bwMode="auto">
                    <a:xfrm>
                      <a:off x="0" y="0"/>
                      <a:ext cx="1479473" cy="873175"/>
                    </a:xfrm>
                    <a:prstGeom prst="rect">
                      <a:avLst/>
                    </a:prstGeom>
                    <a:noFill/>
                    <a:ln w="9525">
                      <a:noFill/>
                      <a:miter lim="800000"/>
                      <a:headEnd/>
                      <a:tailEnd/>
                    </a:ln>
                  </pic:spPr>
                </pic:pic>
              </a:graphicData>
            </a:graphic>
          </wp:inline>
        </w:drawing>
      </w:r>
    </w:p>
    <w:p w:rsidR="00926F32" w:rsidRPr="008779CD" w:rsidRDefault="00926F32">
      <w:pPr>
        <w:rPr>
          <w:rFonts w:ascii="Century Gothic" w:hAnsi="Century Gothic"/>
        </w:rPr>
      </w:pPr>
    </w:p>
    <w:p w:rsidR="00926F32" w:rsidRPr="008779CD" w:rsidRDefault="00926F32" w:rsidP="004F2A77">
      <w:pPr>
        <w:jc w:val="right"/>
        <w:rPr>
          <w:rFonts w:ascii="Century Gothic" w:hAnsi="Century Gothic"/>
        </w:rPr>
      </w:pPr>
    </w:p>
    <w:p w:rsidR="00926F32" w:rsidRPr="008779CD" w:rsidRDefault="00926F32">
      <w:pPr>
        <w:rPr>
          <w:rFonts w:ascii="Century Gothic" w:hAnsi="Century Gothic"/>
        </w:rPr>
      </w:pPr>
    </w:p>
    <w:p w:rsidR="00926F32" w:rsidRPr="008779CD" w:rsidRDefault="00926F32" w:rsidP="00926F32">
      <w:pPr>
        <w:pStyle w:val="Titre1"/>
        <w:jc w:val="center"/>
        <w:rPr>
          <w:rFonts w:ascii="Century Gothic" w:hAnsi="Century Gothic"/>
          <w:sz w:val="22"/>
          <w:szCs w:val="22"/>
        </w:rPr>
      </w:pPr>
    </w:p>
    <w:p w:rsidR="00926F32" w:rsidRPr="008779CD" w:rsidRDefault="00926F32" w:rsidP="00926F32">
      <w:pPr>
        <w:pStyle w:val="Titre1"/>
        <w:jc w:val="center"/>
        <w:rPr>
          <w:rFonts w:ascii="Century Gothic" w:hAnsi="Century Gothic"/>
          <w:sz w:val="22"/>
          <w:szCs w:val="22"/>
        </w:rPr>
      </w:pPr>
    </w:p>
    <w:p w:rsidR="00926F32" w:rsidRPr="008779CD" w:rsidRDefault="00926F32" w:rsidP="00926F32">
      <w:pPr>
        <w:pStyle w:val="Titre1"/>
        <w:jc w:val="center"/>
        <w:rPr>
          <w:rFonts w:ascii="Century Gothic" w:hAnsi="Century Gothic"/>
          <w:sz w:val="22"/>
          <w:szCs w:val="22"/>
        </w:rPr>
      </w:pPr>
    </w:p>
    <w:p w:rsidR="00926F32" w:rsidRPr="005E75D1" w:rsidRDefault="00926F32" w:rsidP="00472F17">
      <w:pPr>
        <w:jc w:val="center"/>
        <w:rPr>
          <w:rFonts w:ascii="Century Gothic" w:hAnsi="Century Gothic"/>
          <w:b/>
          <w:color w:val="1F497D" w:themeColor="text2"/>
          <w:sz w:val="28"/>
          <w:szCs w:val="28"/>
        </w:rPr>
      </w:pPr>
      <w:r w:rsidRPr="005E75D1">
        <w:rPr>
          <w:rFonts w:ascii="Century Gothic" w:hAnsi="Century Gothic"/>
          <w:b/>
          <w:color w:val="1F497D" w:themeColor="text2"/>
          <w:sz w:val="28"/>
          <w:szCs w:val="28"/>
        </w:rPr>
        <w:t xml:space="preserve">Consultation des </w:t>
      </w:r>
      <w:proofErr w:type="spellStart"/>
      <w:r w:rsidRPr="005E75D1">
        <w:rPr>
          <w:rFonts w:ascii="Century Gothic" w:hAnsi="Century Gothic"/>
          <w:b/>
          <w:color w:val="1F497D" w:themeColor="text2"/>
          <w:sz w:val="28"/>
          <w:szCs w:val="28"/>
        </w:rPr>
        <w:t>stakeholders</w:t>
      </w:r>
      <w:proofErr w:type="spellEnd"/>
      <w:r w:rsidRPr="005E75D1">
        <w:rPr>
          <w:rFonts w:ascii="Century Gothic" w:hAnsi="Century Gothic"/>
          <w:b/>
          <w:color w:val="1F497D" w:themeColor="text2"/>
          <w:sz w:val="28"/>
          <w:szCs w:val="28"/>
        </w:rPr>
        <w:t xml:space="preserve"> dans le cadre de l’élaboration du Plan Energie-Climat 2030 pour la Wallonie</w:t>
      </w:r>
    </w:p>
    <w:p w:rsidR="00926F32" w:rsidRPr="005E75D1" w:rsidRDefault="00926F32" w:rsidP="00472F17">
      <w:pPr>
        <w:jc w:val="center"/>
        <w:rPr>
          <w:rFonts w:ascii="Century Gothic" w:hAnsi="Century Gothic"/>
          <w:b/>
          <w:color w:val="1F497D" w:themeColor="text2"/>
          <w:sz w:val="28"/>
          <w:szCs w:val="28"/>
        </w:rPr>
      </w:pPr>
    </w:p>
    <w:p w:rsidR="00926F32" w:rsidRPr="005E75D1" w:rsidRDefault="00E05578" w:rsidP="00472F17">
      <w:pPr>
        <w:jc w:val="center"/>
        <w:rPr>
          <w:rFonts w:ascii="Century Gothic" w:hAnsi="Century Gothic"/>
          <w:b/>
          <w:color w:val="1F497D" w:themeColor="text2"/>
          <w:sz w:val="28"/>
          <w:szCs w:val="28"/>
        </w:rPr>
      </w:pPr>
      <w:r w:rsidRPr="005E75D1">
        <w:rPr>
          <w:rFonts w:ascii="Century Gothic" w:hAnsi="Century Gothic"/>
          <w:b/>
          <w:color w:val="1F497D" w:themeColor="text2"/>
          <w:sz w:val="28"/>
          <w:szCs w:val="28"/>
        </w:rPr>
        <w:t>Etat des lieux</w:t>
      </w:r>
      <w:r w:rsidR="00771027" w:rsidRPr="005E75D1">
        <w:rPr>
          <w:rFonts w:ascii="Century Gothic" w:hAnsi="Century Gothic"/>
          <w:b/>
          <w:color w:val="1F497D" w:themeColor="text2"/>
          <w:sz w:val="28"/>
          <w:szCs w:val="28"/>
        </w:rPr>
        <w:t xml:space="preserve"> : </w:t>
      </w:r>
      <w:r w:rsidR="00F17EB5" w:rsidRPr="005E75D1">
        <w:rPr>
          <w:rFonts w:ascii="Century Gothic" w:hAnsi="Century Gothic"/>
          <w:b/>
          <w:color w:val="1F497D" w:themeColor="text2"/>
          <w:sz w:val="28"/>
          <w:szCs w:val="28"/>
        </w:rPr>
        <w:t>Intégration du marché</w:t>
      </w:r>
    </w:p>
    <w:p w:rsidR="00926F32" w:rsidRPr="008779CD" w:rsidRDefault="008B4079">
      <w:pPr>
        <w:rPr>
          <w:rFonts w:ascii="Century Gothic" w:hAnsi="Century Gothic"/>
        </w:rPr>
      </w:pPr>
      <w:r w:rsidRPr="00880A8A">
        <w:rPr>
          <w:rFonts w:ascii="Century Gothic" w:hAnsi="Century Gothic"/>
        </w:rPr>
        <w:t>Date de la consultation</w:t>
      </w:r>
      <w:r w:rsidR="00880A8A">
        <w:rPr>
          <w:rFonts w:ascii="Century Gothic" w:hAnsi="Century Gothic"/>
        </w:rPr>
        <w:t> : du 13/03/2017 au 21/04/2017</w:t>
      </w:r>
    </w:p>
    <w:p w:rsidR="0033110E" w:rsidRPr="008779CD" w:rsidRDefault="00FA7FE7">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simplePos x="0" y="0"/>
            <wp:positionH relativeFrom="margin">
              <wp:posOffset>4443730</wp:posOffset>
            </wp:positionH>
            <wp:positionV relativeFrom="margin">
              <wp:posOffset>7186930</wp:posOffset>
            </wp:positionV>
            <wp:extent cx="990600" cy="942975"/>
            <wp:effectExtent l="19050" t="0" r="0" b="0"/>
            <wp:wrapSquare wrapText="bothSides"/>
            <wp:docPr id="12" name="Image 4" descr="http://intranet.spw.wallonie.be/files/home/outils/identite_visuelle/chartes_graphique_et_editoriale/logos/d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pw.wallonie.be/files/home/outils/identite_visuelle/chartes_graphique_et_editoriale/logos/dgo4.jpg"/>
                    <pic:cNvPicPr>
                      <a:picLocks noChangeAspect="1" noChangeArrowheads="1"/>
                    </pic:cNvPicPr>
                  </pic:nvPicPr>
                  <pic:blipFill>
                    <a:blip r:embed="rId9" cstate="print"/>
                    <a:srcRect/>
                    <a:stretch>
                      <a:fillRect/>
                    </a:stretch>
                  </pic:blipFill>
                  <pic:spPr bwMode="auto">
                    <a:xfrm>
                      <a:off x="0" y="0"/>
                      <a:ext cx="990600" cy="942975"/>
                    </a:xfrm>
                    <a:prstGeom prst="rect">
                      <a:avLst/>
                    </a:prstGeom>
                    <a:noFill/>
                    <a:ln w="9525">
                      <a:noFill/>
                      <a:miter lim="800000"/>
                      <a:headEnd/>
                      <a:tailEnd/>
                    </a:ln>
                  </pic:spPr>
                </pic:pic>
              </a:graphicData>
            </a:graphic>
          </wp:anchor>
        </w:drawing>
      </w:r>
      <w:r w:rsidR="00926F32" w:rsidRPr="008779CD">
        <w:rPr>
          <w:rFonts w:ascii="Century Gothic" w:hAnsi="Century Gothic"/>
        </w:rPr>
        <w:br w:type="page"/>
      </w:r>
    </w:p>
    <w:p w:rsidR="008B4079" w:rsidRPr="008779CD" w:rsidRDefault="008B4079">
      <w:pPr>
        <w:rPr>
          <w:rFonts w:ascii="Century Gothic" w:hAnsi="Century Gothic"/>
        </w:rPr>
        <w:sectPr w:rsidR="008B4079" w:rsidRPr="008779CD" w:rsidSect="0033110E">
          <w:pgSz w:w="11906" w:h="16838"/>
          <w:pgMar w:top="1417" w:right="1417" w:bottom="1417" w:left="1417" w:header="708" w:footer="708" w:gutter="0"/>
          <w:pgNumType w:start="1"/>
          <w:cols w:space="708"/>
          <w:docGrid w:linePitch="360"/>
        </w:sectPr>
      </w:pPr>
    </w:p>
    <w:p w:rsidR="00926F32" w:rsidRPr="008779CD" w:rsidRDefault="00926F32">
      <w:pPr>
        <w:rPr>
          <w:rFonts w:ascii="Century Gothic" w:eastAsiaTheme="majorEastAsia" w:hAnsi="Century Gothic" w:cstheme="majorBidi"/>
          <w:b/>
          <w:bCs/>
          <w:color w:val="365F91" w:themeColor="accent1" w:themeShade="BF"/>
        </w:rPr>
      </w:pPr>
    </w:p>
    <w:sdt>
      <w:sdtPr>
        <w:rPr>
          <w:rFonts w:ascii="Century Gothic" w:eastAsiaTheme="minorHAnsi" w:hAnsi="Century Gothic" w:cstheme="minorBidi"/>
          <w:b w:val="0"/>
          <w:bCs w:val="0"/>
          <w:color w:val="auto"/>
          <w:sz w:val="22"/>
          <w:szCs w:val="22"/>
          <w:lang w:val="fr-BE"/>
        </w:rPr>
        <w:id w:val="5014684"/>
        <w:docPartObj>
          <w:docPartGallery w:val="Table of Contents"/>
          <w:docPartUnique/>
        </w:docPartObj>
      </w:sdtPr>
      <w:sdtEndPr>
        <w:rPr>
          <w:rFonts w:eastAsiaTheme="minorEastAsia"/>
        </w:rPr>
      </w:sdtEndPr>
      <w:sdtContent>
        <w:p w:rsidR="00472F17" w:rsidRPr="008779CD" w:rsidRDefault="00472F17">
          <w:pPr>
            <w:pStyle w:val="En-ttedetabledesmatires"/>
            <w:rPr>
              <w:rFonts w:ascii="Century Gothic" w:hAnsi="Century Gothic"/>
              <w:sz w:val="22"/>
              <w:szCs w:val="22"/>
              <w:lang w:val="fr-BE"/>
            </w:rPr>
          </w:pPr>
          <w:r w:rsidRPr="008779CD">
            <w:rPr>
              <w:rFonts w:ascii="Century Gothic" w:hAnsi="Century Gothic"/>
              <w:sz w:val="22"/>
              <w:szCs w:val="22"/>
              <w:lang w:val="fr-BE"/>
            </w:rPr>
            <w:t>Table des matières</w:t>
          </w:r>
        </w:p>
        <w:p w:rsidR="00C027C1" w:rsidRDefault="006937F9">
          <w:pPr>
            <w:pStyle w:val="TM1"/>
            <w:tabs>
              <w:tab w:val="left" w:pos="440"/>
              <w:tab w:val="right" w:leader="dot" w:pos="9205"/>
            </w:tabs>
            <w:rPr>
              <w:noProof/>
            </w:rPr>
          </w:pPr>
          <w:r w:rsidRPr="008779CD">
            <w:rPr>
              <w:rFonts w:ascii="Century Gothic" w:hAnsi="Century Gothic"/>
            </w:rPr>
            <w:fldChar w:fldCharType="begin"/>
          </w:r>
          <w:r w:rsidR="00472F17" w:rsidRPr="008779CD">
            <w:rPr>
              <w:rFonts w:ascii="Century Gothic" w:hAnsi="Century Gothic"/>
            </w:rPr>
            <w:instrText xml:space="preserve"> TOC \o "1-3" \h \z \u </w:instrText>
          </w:r>
          <w:r w:rsidRPr="008779CD">
            <w:rPr>
              <w:rFonts w:ascii="Century Gothic" w:hAnsi="Century Gothic"/>
            </w:rPr>
            <w:fldChar w:fldCharType="separate"/>
          </w:r>
          <w:hyperlink w:anchor="_Toc475442012" w:history="1">
            <w:r w:rsidR="00C027C1" w:rsidRPr="002E1D19">
              <w:rPr>
                <w:rStyle w:val="Lienhypertexte"/>
                <w:noProof/>
              </w:rPr>
              <w:t>1.</w:t>
            </w:r>
            <w:r w:rsidR="00C027C1">
              <w:rPr>
                <w:noProof/>
              </w:rPr>
              <w:tab/>
            </w:r>
            <w:r w:rsidR="00C027C1" w:rsidRPr="002E1D19">
              <w:rPr>
                <w:rStyle w:val="Lienhypertexte"/>
                <w:noProof/>
              </w:rPr>
              <w:t>Contexte</w:t>
            </w:r>
            <w:r w:rsidR="00C027C1">
              <w:rPr>
                <w:noProof/>
                <w:webHidden/>
              </w:rPr>
              <w:tab/>
            </w:r>
            <w:r>
              <w:rPr>
                <w:noProof/>
                <w:webHidden/>
              </w:rPr>
              <w:fldChar w:fldCharType="begin"/>
            </w:r>
            <w:r w:rsidR="00C027C1">
              <w:rPr>
                <w:noProof/>
                <w:webHidden/>
              </w:rPr>
              <w:instrText xml:space="preserve"> PAGEREF _Toc475442012 \h </w:instrText>
            </w:r>
            <w:r>
              <w:rPr>
                <w:noProof/>
                <w:webHidden/>
              </w:rPr>
            </w:r>
            <w:r>
              <w:rPr>
                <w:noProof/>
                <w:webHidden/>
              </w:rPr>
              <w:fldChar w:fldCharType="separate"/>
            </w:r>
            <w:r w:rsidR="00AE21FA">
              <w:rPr>
                <w:noProof/>
                <w:webHidden/>
              </w:rPr>
              <w:t>2</w:t>
            </w:r>
            <w:r>
              <w:rPr>
                <w:noProof/>
                <w:webHidden/>
              </w:rPr>
              <w:fldChar w:fldCharType="end"/>
            </w:r>
          </w:hyperlink>
        </w:p>
        <w:p w:rsidR="00C027C1" w:rsidRDefault="006937F9">
          <w:pPr>
            <w:pStyle w:val="TM1"/>
            <w:tabs>
              <w:tab w:val="left" w:pos="440"/>
              <w:tab w:val="right" w:leader="dot" w:pos="9205"/>
            </w:tabs>
            <w:rPr>
              <w:noProof/>
            </w:rPr>
          </w:pPr>
          <w:hyperlink w:anchor="_Toc475442013" w:history="1">
            <w:r w:rsidR="00C027C1" w:rsidRPr="002E1D19">
              <w:rPr>
                <w:rStyle w:val="Lienhypertexte"/>
                <w:noProof/>
              </w:rPr>
              <w:t>2.</w:t>
            </w:r>
            <w:r w:rsidR="00C027C1">
              <w:rPr>
                <w:noProof/>
              </w:rPr>
              <w:tab/>
            </w:r>
            <w:r w:rsidR="00C027C1" w:rsidRPr="002E1D19">
              <w:rPr>
                <w:rStyle w:val="Lienhypertexte"/>
                <w:noProof/>
              </w:rPr>
              <w:t>Objectif de la consultation</w:t>
            </w:r>
            <w:r w:rsidR="00C027C1">
              <w:rPr>
                <w:noProof/>
                <w:webHidden/>
              </w:rPr>
              <w:tab/>
            </w:r>
            <w:r>
              <w:rPr>
                <w:noProof/>
                <w:webHidden/>
              </w:rPr>
              <w:fldChar w:fldCharType="begin"/>
            </w:r>
            <w:r w:rsidR="00C027C1">
              <w:rPr>
                <w:noProof/>
                <w:webHidden/>
              </w:rPr>
              <w:instrText xml:space="preserve"> PAGEREF _Toc475442013 \h </w:instrText>
            </w:r>
            <w:r>
              <w:rPr>
                <w:noProof/>
                <w:webHidden/>
              </w:rPr>
            </w:r>
            <w:r>
              <w:rPr>
                <w:noProof/>
                <w:webHidden/>
              </w:rPr>
              <w:fldChar w:fldCharType="separate"/>
            </w:r>
            <w:r w:rsidR="00AE21FA">
              <w:rPr>
                <w:noProof/>
                <w:webHidden/>
              </w:rPr>
              <w:t>5</w:t>
            </w:r>
            <w:r>
              <w:rPr>
                <w:noProof/>
                <w:webHidden/>
              </w:rPr>
              <w:fldChar w:fldCharType="end"/>
            </w:r>
          </w:hyperlink>
        </w:p>
        <w:p w:rsidR="00C027C1" w:rsidRDefault="006937F9">
          <w:pPr>
            <w:pStyle w:val="TM1"/>
            <w:tabs>
              <w:tab w:val="left" w:pos="440"/>
              <w:tab w:val="right" w:leader="dot" w:pos="9205"/>
            </w:tabs>
            <w:rPr>
              <w:noProof/>
            </w:rPr>
          </w:pPr>
          <w:hyperlink w:anchor="_Toc475442014" w:history="1">
            <w:r w:rsidR="00C027C1" w:rsidRPr="002E1D19">
              <w:rPr>
                <w:rStyle w:val="Lienhypertexte"/>
                <w:rFonts w:ascii="Century Gothic" w:hAnsi="Century Gothic"/>
                <w:noProof/>
              </w:rPr>
              <w:t>3.</w:t>
            </w:r>
            <w:r w:rsidR="00C027C1">
              <w:rPr>
                <w:noProof/>
              </w:rPr>
              <w:tab/>
            </w:r>
            <w:r w:rsidR="00C027C1" w:rsidRPr="002E1D19">
              <w:rPr>
                <w:rStyle w:val="Lienhypertexte"/>
                <w:noProof/>
              </w:rPr>
              <w:t>Structure du document</w:t>
            </w:r>
            <w:r w:rsidR="00C027C1">
              <w:rPr>
                <w:noProof/>
                <w:webHidden/>
              </w:rPr>
              <w:tab/>
            </w:r>
            <w:r>
              <w:rPr>
                <w:noProof/>
                <w:webHidden/>
              </w:rPr>
              <w:fldChar w:fldCharType="begin"/>
            </w:r>
            <w:r w:rsidR="00C027C1">
              <w:rPr>
                <w:noProof/>
                <w:webHidden/>
              </w:rPr>
              <w:instrText xml:space="preserve"> PAGEREF _Toc475442014 \h </w:instrText>
            </w:r>
            <w:r>
              <w:rPr>
                <w:noProof/>
                <w:webHidden/>
              </w:rPr>
            </w:r>
            <w:r>
              <w:rPr>
                <w:noProof/>
                <w:webHidden/>
              </w:rPr>
              <w:fldChar w:fldCharType="separate"/>
            </w:r>
            <w:r w:rsidR="00AE21FA">
              <w:rPr>
                <w:noProof/>
                <w:webHidden/>
              </w:rPr>
              <w:t>5</w:t>
            </w:r>
            <w:r>
              <w:rPr>
                <w:noProof/>
                <w:webHidden/>
              </w:rPr>
              <w:fldChar w:fldCharType="end"/>
            </w:r>
          </w:hyperlink>
        </w:p>
        <w:p w:rsidR="00C027C1" w:rsidRDefault="006937F9">
          <w:pPr>
            <w:pStyle w:val="TM1"/>
            <w:tabs>
              <w:tab w:val="left" w:pos="440"/>
              <w:tab w:val="right" w:leader="dot" w:pos="9205"/>
            </w:tabs>
            <w:rPr>
              <w:noProof/>
            </w:rPr>
          </w:pPr>
          <w:hyperlink w:anchor="_Toc475442015" w:history="1">
            <w:r w:rsidR="00C027C1" w:rsidRPr="002E1D19">
              <w:rPr>
                <w:rStyle w:val="Lienhypertexte"/>
                <w:noProof/>
              </w:rPr>
              <w:t>4.</w:t>
            </w:r>
            <w:r w:rsidR="00C027C1">
              <w:rPr>
                <w:noProof/>
              </w:rPr>
              <w:tab/>
            </w:r>
            <w:r w:rsidR="00C027C1" w:rsidRPr="002E1D19">
              <w:rPr>
                <w:rStyle w:val="Lienhypertexte"/>
                <w:noProof/>
              </w:rPr>
              <w:t>Etat des lieux des politiques et mesures existantes en matière de politiques énergétique et climatique – Dimension  Intégration du marché</w:t>
            </w:r>
            <w:r w:rsidR="00C027C1">
              <w:rPr>
                <w:noProof/>
                <w:webHidden/>
              </w:rPr>
              <w:tab/>
            </w:r>
            <w:r>
              <w:rPr>
                <w:noProof/>
                <w:webHidden/>
              </w:rPr>
              <w:fldChar w:fldCharType="begin"/>
            </w:r>
            <w:r w:rsidR="00C027C1">
              <w:rPr>
                <w:noProof/>
                <w:webHidden/>
              </w:rPr>
              <w:instrText xml:space="preserve"> PAGEREF _Toc475442015 \h </w:instrText>
            </w:r>
            <w:r>
              <w:rPr>
                <w:noProof/>
                <w:webHidden/>
              </w:rPr>
            </w:r>
            <w:r>
              <w:rPr>
                <w:noProof/>
                <w:webHidden/>
              </w:rPr>
              <w:fldChar w:fldCharType="separate"/>
            </w:r>
            <w:r w:rsidR="00AE21FA">
              <w:rPr>
                <w:noProof/>
                <w:webHidden/>
              </w:rPr>
              <w:t>6</w:t>
            </w:r>
            <w:r>
              <w:rPr>
                <w:noProof/>
                <w:webHidden/>
              </w:rPr>
              <w:fldChar w:fldCharType="end"/>
            </w:r>
          </w:hyperlink>
        </w:p>
        <w:p w:rsidR="00C027C1" w:rsidRDefault="006937F9">
          <w:pPr>
            <w:pStyle w:val="TM2"/>
            <w:tabs>
              <w:tab w:val="left" w:pos="880"/>
              <w:tab w:val="right" w:leader="dot" w:pos="9205"/>
            </w:tabs>
            <w:rPr>
              <w:noProof/>
            </w:rPr>
          </w:pPr>
          <w:hyperlink w:anchor="_Toc475442016" w:history="1">
            <w:r w:rsidR="00C027C1" w:rsidRPr="002E1D19">
              <w:rPr>
                <w:rStyle w:val="Lienhypertexte"/>
                <w:noProof/>
              </w:rPr>
              <w:t>4.1.</w:t>
            </w:r>
            <w:r w:rsidR="00C027C1">
              <w:rPr>
                <w:noProof/>
              </w:rPr>
              <w:tab/>
            </w:r>
            <w:r w:rsidR="00C027C1" w:rsidRPr="002E1D19">
              <w:rPr>
                <w:rStyle w:val="Lienhypertexte"/>
                <w:noProof/>
              </w:rPr>
              <w:t>Objectifs  en matière d’intégration du marché</w:t>
            </w:r>
            <w:r w:rsidR="00C027C1">
              <w:rPr>
                <w:noProof/>
                <w:webHidden/>
              </w:rPr>
              <w:tab/>
            </w:r>
            <w:r>
              <w:rPr>
                <w:noProof/>
                <w:webHidden/>
              </w:rPr>
              <w:fldChar w:fldCharType="begin"/>
            </w:r>
            <w:r w:rsidR="00C027C1">
              <w:rPr>
                <w:noProof/>
                <w:webHidden/>
              </w:rPr>
              <w:instrText xml:space="preserve"> PAGEREF _Toc475442016 \h </w:instrText>
            </w:r>
            <w:r>
              <w:rPr>
                <w:noProof/>
                <w:webHidden/>
              </w:rPr>
            </w:r>
            <w:r>
              <w:rPr>
                <w:noProof/>
                <w:webHidden/>
              </w:rPr>
              <w:fldChar w:fldCharType="separate"/>
            </w:r>
            <w:r w:rsidR="00AE21FA">
              <w:rPr>
                <w:noProof/>
                <w:webHidden/>
              </w:rPr>
              <w:t>6</w:t>
            </w:r>
            <w:r>
              <w:rPr>
                <w:noProof/>
                <w:webHidden/>
              </w:rPr>
              <w:fldChar w:fldCharType="end"/>
            </w:r>
          </w:hyperlink>
        </w:p>
        <w:p w:rsidR="00C027C1" w:rsidRDefault="006937F9">
          <w:pPr>
            <w:pStyle w:val="TM2"/>
            <w:tabs>
              <w:tab w:val="left" w:pos="880"/>
              <w:tab w:val="right" w:leader="dot" w:pos="9205"/>
            </w:tabs>
            <w:rPr>
              <w:noProof/>
            </w:rPr>
          </w:pPr>
          <w:hyperlink w:anchor="_Toc475442017" w:history="1">
            <w:r w:rsidR="00C027C1" w:rsidRPr="002E1D19">
              <w:rPr>
                <w:rStyle w:val="Lienhypertexte"/>
                <w:noProof/>
              </w:rPr>
              <w:t>4.2.</w:t>
            </w:r>
            <w:r w:rsidR="00C027C1">
              <w:rPr>
                <w:noProof/>
              </w:rPr>
              <w:tab/>
            </w:r>
            <w:r w:rsidR="00C027C1" w:rsidRPr="002E1D19">
              <w:rPr>
                <w:rStyle w:val="Lienhypertexte"/>
                <w:noProof/>
              </w:rPr>
              <w:t>Mesures existantes</w:t>
            </w:r>
            <w:r w:rsidR="00C027C1">
              <w:rPr>
                <w:noProof/>
                <w:webHidden/>
              </w:rPr>
              <w:tab/>
            </w:r>
            <w:r>
              <w:rPr>
                <w:noProof/>
                <w:webHidden/>
              </w:rPr>
              <w:fldChar w:fldCharType="begin"/>
            </w:r>
            <w:r w:rsidR="00C027C1">
              <w:rPr>
                <w:noProof/>
                <w:webHidden/>
              </w:rPr>
              <w:instrText xml:space="preserve"> PAGEREF _Toc475442017 \h </w:instrText>
            </w:r>
            <w:r>
              <w:rPr>
                <w:noProof/>
                <w:webHidden/>
              </w:rPr>
            </w:r>
            <w:r>
              <w:rPr>
                <w:noProof/>
                <w:webHidden/>
              </w:rPr>
              <w:fldChar w:fldCharType="separate"/>
            </w:r>
            <w:r w:rsidR="00AE21FA">
              <w:rPr>
                <w:noProof/>
                <w:webHidden/>
              </w:rPr>
              <w:t>7</w:t>
            </w:r>
            <w:r>
              <w:rPr>
                <w:noProof/>
                <w:webHidden/>
              </w:rPr>
              <w:fldChar w:fldCharType="end"/>
            </w:r>
          </w:hyperlink>
        </w:p>
        <w:p w:rsidR="00C027C1" w:rsidRDefault="006937F9">
          <w:pPr>
            <w:pStyle w:val="TM2"/>
            <w:tabs>
              <w:tab w:val="left" w:pos="880"/>
              <w:tab w:val="right" w:leader="dot" w:pos="9205"/>
            </w:tabs>
            <w:rPr>
              <w:noProof/>
            </w:rPr>
          </w:pPr>
          <w:hyperlink w:anchor="_Toc475442018" w:history="1">
            <w:r w:rsidR="00C027C1" w:rsidRPr="002E1D19">
              <w:rPr>
                <w:rStyle w:val="Lienhypertexte"/>
                <w:noProof/>
              </w:rPr>
              <w:t>4.3.</w:t>
            </w:r>
            <w:r w:rsidR="00C027C1">
              <w:rPr>
                <w:noProof/>
              </w:rPr>
              <w:tab/>
            </w:r>
            <w:r w:rsidR="00C027C1" w:rsidRPr="002E1D19">
              <w:rPr>
                <w:rStyle w:val="Lienhypertexte"/>
                <w:noProof/>
              </w:rPr>
              <w:t>Quelques chiffres clés…</w:t>
            </w:r>
            <w:r w:rsidR="00C027C1">
              <w:rPr>
                <w:noProof/>
                <w:webHidden/>
              </w:rPr>
              <w:tab/>
            </w:r>
            <w:r>
              <w:rPr>
                <w:noProof/>
                <w:webHidden/>
              </w:rPr>
              <w:fldChar w:fldCharType="begin"/>
            </w:r>
            <w:r w:rsidR="00C027C1">
              <w:rPr>
                <w:noProof/>
                <w:webHidden/>
              </w:rPr>
              <w:instrText xml:space="preserve"> PAGEREF _Toc475442018 \h </w:instrText>
            </w:r>
            <w:r>
              <w:rPr>
                <w:noProof/>
                <w:webHidden/>
              </w:rPr>
            </w:r>
            <w:r>
              <w:rPr>
                <w:noProof/>
                <w:webHidden/>
              </w:rPr>
              <w:fldChar w:fldCharType="separate"/>
            </w:r>
            <w:r w:rsidR="00AE21FA">
              <w:rPr>
                <w:noProof/>
                <w:webHidden/>
              </w:rPr>
              <w:t>15</w:t>
            </w:r>
            <w:r>
              <w:rPr>
                <w:noProof/>
                <w:webHidden/>
              </w:rPr>
              <w:fldChar w:fldCharType="end"/>
            </w:r>
          </w:hyperlink>
        </w:p>
        <w:p w:rsidR="00C027C1" w:rsidRDefault="006937F9">
          <w:pPr>
            <w:pStyle w:val="TM1"/>
            <w:tabs>
              <w:tab w:val="left" w:pos="440"/>
              <w:tab w:val="right" w:leader="dot" w:pos="9205"/>
            </w:tabs>
            <w:rPr>
              <w:noProof/>
            </w:rPr>
          </w:pPr>
          <w:hyperlink w:anchor="_Toc475442019" w:history="1">
            <w:r w:rsidR="00C027C1" w:rsidRPr="002E1D19">
              <w:rPr>
                <w:rStyle w:val="Lienhypertexte"/>
                <w:noProof/>
              </w:rPr>
              <w:t>5.</w:t>
            </w:r>
            <w:r w:rsidR="00C027C1">
              <w:rPr>
                <w:noProof/>
              </w:rPr>
              <w:tab/>
            </w:r>
            <w:r w:rsidR="00C027C1" w:rsidRPr="002E1D19">
              <w:rPr>
                <w:rStyle w:val="Lienhypertexte"/>
                <w:noProof/>
              </w:rPr>
              <w:t>Questionnaire</w:t>
            </w:r>
            <w:r w:rsidR="00C027C1">
              <w:rPr>
                <w:noProof/>
                <w:webHidden/>
              </w:rPr>
              <w:tab/>
            </w:r>
            <w:r>
              <w:rPr>
                <w:noProof/>
                <w:webHidden/>
              </w:rPr>
              <w:fldChar w:fldCharType="begin"/>
            </w:r>
            <w:r w:rsidR="00C027C1">
              <w:rPr>
                <w:noProof/>
                <w:webHidden/>
              </w:rPr>
              <w:instrText xml:space="preserve"> PAGEREF _Toc475442019 \h </w:instrText>
            </w:r>
            <w:r>
              <w:rPr>
                <w:noProof/>
                <w:webHidden/>
              </w:rPr>
            </w:r>
            <w:r>
              <w:rPr>
                <w:noProof/>
                <w:webHidden/>
              </w:rPr>
              <w:fldChar w:fldCharType="separate"/>
            </w:r>
            <w:r w:rsidR="00AE21FA">
              <w:rPr>
                <w:noProof/>
                <w:webHidden/>
              </w:rPr>
              <w:t>17</w:t>
            </w:r>
            <w:r>
              <w:rPr>
                <w:noProof/>
                <w:webHidden/>
              </w:rPr>
              <w:fldChar w:fldCharType="end"/>
            </w:r>
          </w:hyperlink>
        </w:p>
        <w:p w:rsidR="00472F17" w:rsidRPr="008779CD" w:rsidRDefault="006937F9">
          <w:pPr>
            <w:rPr>
              <w:rFonts w:ascii="Century Gothic" w:hAnsi="Century Gothic"/>
            </w:rPr>
          </w:pPr>
          <w:r w:rsidRPr="008779CD">
            <w:rPr>
              <w:rFonts w:ascii="Century Gothic" w:hAnsi="Century Gothic"/>
            </w:rPr>
            <w:fldChar w:fldCharType="end"/>
          </w:r>
        </w:p>
      </w:sdtContent>
    </w:sdt>
    <w:p w:rsidR="00472F17" w:rsidRPr="008779CD" w:rsidRDefault="00472F17">
      <w:pPr>
        <w:rPr>
          <w:rFonts w:ascii="Century Gothic" w:eastAsiaTheme="majorEastAsia" w:hAnsi="Century Gothic" w:cstheme="majorBidi"/>
          <w:b/>
          <w:bCs/>
          <w:color w:val="365F91" w:themeColor="accent1" w:themeShade="BF"/>
        </w:rPr>
      </w:pPr>
      <w:r w:rsidRPr="008779CD">
        <w:rPr>
          <w:rFonts w:ascii="Century Gothic" w:hAnsi="Century Gothic"/>
        </w:rPr>
        <w:br w:type="page"/>
      </w:r>
    </w:p>
    <w:p w:rsidR="00756CB3" w:rsidRPr="008779CD" w:rsidRDefault="00756CB3">
      <w:pPr>
        <w:rPr>
          <w:rFonts w:ascii="Century Gothic" w:hAnsi="Century Gothic"/>
        </w:rPr>
      </w:pPr>
    </w:p>
    <w:p w:rsidR="00756CB3" w:rsidRPr="008779CD" w:rsidRDefault="00756CB3">
      <w:pPr>
        <w:rPr>
          <w:rFonts w:ascii="Century Gothic" w:hAnsi="Century Gothic"/>
        </w:rPr>
      </w:pPr>
    </w:p>
    <w:p w:rsidR="00756CB3" w:rsidRPr="008779CD" w:rsidRDefault="00756CB3" w:rsidP="008779CD">
      <w:pPr>
        <w:pStyle w:val="Titre1"/>
        <w:numPr>
          <w:ilvl w:val="0"/>
          <w:numId w:val="24"/>
        </w:numPr>
      </w:pPr>
      <w:bookmarkStart w:id="0" w:name="_Toc475442012"/>
      <w:r w:rsidRPr="008779CD">
        <w:t>Contexte</w:t>
      </w:r>
      <w:bookmarkEnd w:id="0"/>
    </w:p>
    <w:p w:rsidR="008779CD" w:rsidRPr="008779CD" w:rsidRDefault="008779CD" w:rsidP="008779CD"/>
    <w:p w:rsidR="008779CD" w:rsidRPr="008779CD" w:rsidRDefault="008779CD" w:rsidP="008779CD">
      <w:pPr>
        <w:spacing w:after="120" w:line="240" w:lineRule="auto"/>
        <w:ind w:left="360"/>
        <w:jc w:val="both"/>
        <w:rPr>
          <w:rFonts w:ascii="Century Gothic" w:hAnsi="Century Gothic" w:cs="Tahoma"/>
        </w:rPr>
      </w:pPr>
      <w:r w:rsidRPr="008779CD">
        <w:rPr>
          <w:rFonts w:ascii="Century Gothic" w:hAnsi="Century Gothic" w:cs="Tahoma"/>
        </w:rPr>
        <w:t>Les décrets du 12 avril 2001 relatif à l’organisation du marché régional de l’électricité et du 19 décembre 2002 relatif à l’organisation du marché régional du gaz consacrent la séparation des métiers (production, transport/distribution et fourniture). Depuis le 1</w:t>
      </w:r>
      <w:r w:rsidRPr="008779CD">
        <w:rPr>
          <w:rFonts w:ascii="Century Gothic" w:hAnsi="Century Gothic" w:cs="Tahoma"/>
          <w:vertAlign w:val="superscript"/>
        </w:rPr>
        <w:t>er</w:t>
      </w:r>
      <w:r w:rsidRPr="008779CD">
        <w:rPr>
          <w:rFonts w:ascii="Century Gothic" w:hAnsi="Century Gothic" w:cs="Tahoma"/>
        </w:rPr>
        <w:t xml:space="preserve"> janvier 2007, il permet également à tout client de choisir librement son fournisseur. Par ailleurs, plusieurs campagnes d’information ont été menées pour inciter les clients à comparer les offres des fournisseurs et choisir l’offre qui leur convenait le mieux.</w:t>
      </w:r>
    </w:p>
    <w:p w:rsidR="008779CD" w:rsidRPr="008779CD" w:rsidRDefault="008779CD" w:rsidP="008779CD">
      <w:pPr>
        <w:spacing w:after="120" w:line="240" w:lineRule="auto"/>
        <w:ind w:left="360"/>
        <w:jc w:val="both"/>
        <w:rPr>
          <w:rFonts w:ascii="Century Gothic" w:hAnsi="Century Gothic" w:cs="Tahoma"/>
        </w:rPr>
      </w:pPr>
      <w:r w:rsidRPr="008779CD">
        <w:rPr>
          <w:rFonts w:ascii="Century Gothic" w:hAnsi="Century Gothic" w:cs="Tahoma"/>
        </w:rPr>
        <w:t>En 2014, les décrets gaz et électricité ont été adaptés pour améliorer la protection des consommateurs et les règles de marché</w:t>
      </w:r>
      <w:r w:rsidR="004F3376">
        <w:rPr>
          <w:rFonts w:ascii="Century Gothic" w:hAnsi="Century Gothic" w:cs="Tahoma"/>
        </w:rPr>
        <w:t xml:space="preserve"> et ce, notamment, afin de répondre aux obligations européennes en la matière</w:t>
      </w:r>
      <w:r w:rsidRPr="008779CD">
        <w:rPr>
          <w:rFonts w:ascii="Century Gothic" w:hAnsi="Century Gothic" w:cs="Tahoma"/>
        </w:rPr>
        <w:t>.</w:t>
      </w:r>
    </w:p>
    <w:p w:rsidR="008779CD" w:rsidRPr="008779CD" w:rsidRDefault="008779CD" w:rsidP="008779CD">
      <w:pPr>
        <w:autoSpaceDE w:val="0"/>
        <w:autoSpaceDN w:val="0"/>
        <w:adjustRightInd w:val="0"/>
        <w:spacing w:after="120" w:line="240" w:lineRule="auto"/>
        <w:ind w:left="360"/>
        <w:jc w:val="both"/>
        <w:rPr>
          <w:rFonts w:ascii="Century Gothic" w:hAnsi="Century Gothic" w:cs="Roboto-Light"/>
        </w:rPr>
      </w:pPr>
      <w:r w:rsidRPr="008779CD">
        <w:rPr>
          <w:rFonts w:ascii="Century Gothic" w:hAnsi="Century Gothic" w:cs="Roboto-Light"/>
        </w:rPr>
        <w:t>Les gestionnaires de réseaux de distribution de gaz et d’électricité, ainsi qu’Elia en tant que gestionnaire du réseau de transport local, ont une place centrale dans le marché wallon. Outre certaines obligations de service public, un ensemble de missions techniques leur sont en effet dévolues, notamment dans le cadre du développement, de l’entretien, de la surveillance et de la gestion du réseau, du raccordement des utilisateurs à des fins de consommation et de production, du comptage et de la gestion des flux d’énergie.</w:t>
      </w:r>
    </w:p>
    <w:p w:rsidR="008779CD" w:rsidRPr="008779CD" w:rsidRDefault="008779CD" w:rsidP="008779CD">
      <w:pPr>
        <w:autoSpaceDE w:val="0"/>
        <w:autoSpaceDN w:val="0"/>
        <w:adjustRightInd w:val="0"/>
        <w:spacing w:after="120" w:line="240" w:lineRule="auto"/>
        <w:ind w:left="360"/>
        <w:jc w:val="both"/>
        <w:rPr>
          <w:rFonts w:ascii="Century Gothic" w:hAnsi="Century Gothic" w:cs="Roboto-Light"/>
        </w:rPr>
      </w:pPr>
      <w:r w:rsidRPr="008779CD">
        <w:rPr>
          <w:rFonts w:ascii="Century Gothic" w:hAnsi="Century Gothic" w:cs="Roboto-Light"/>
        </w:rPr>
        <w:t>Chaque année, les gestionnaires de réseaux</w:t>
      </w:r>
      <w:r w:rsidR="00843DFA">
        <w:rPr>
          <w:rFonts w:ascii="Century Gothic" w:hAnsi="Century Gothic" w:cs="Roboto-Light"/>
        </w:rPr>
        <w:t xml:space="preserve"> de distribution</w:t>
      </w:r>
      <w:r w:rsidRPr="008779CD">
        <w:rPr>
          <w:rFonts w:ascii="Century Gothic" w:hAnsi="Century Gothic" w:cs="Roboto-Light"/>
        </w:rPr>
        <w:t xml:space="preserve"> communiquent à la CWaPE, en vue de leur approbation, leurs programmes pluriannuels d’investissement ainsi que le rapport sur la qualité de leurs prestations. L’ensemble de ces plans représente un budget d’investissement dans les infrastructures de l’ordre de 2 milliards EUR. Au total, en 2015, ce ne sont pas moins de 930 km de câbles, 185 km de lignes, et 227 km de conduites de gaz qui ont été posés pour la distribution en Wallonie, tant pour les renouvellements que les extensions, pour un montant avoisinant les 310 </w:t>
      </w:r>
      <w:r w:rsidR="00CC6A05">
        <w:rPr>
          <w:rFonts w:ascii="Century Gothic" w:hAnsi="Century Gothic" w:cs="Roboto-Light"/>
        </w:rPr>
        <w:t>millions</w:t>
      </w:r>
      <w:r w:rsidR="00CC6A05" w:rsidRPr="008779CD">
        <w:rPr>
          <w:rFonts w:ascii="Century Gothic" w:hAnsi="Century Gothic" w:cs="Roboto-Light"/>
        </w:rPr>
        <w:t xml:space="preserve"> </w:t>
      </w:r>
      <w:r w:rsidRPr="008779CD">
        <w:rPr>
          <w:rFonts w:ascii="Century Gothic" w:hAnsi="Century Gothic" w:cs="Roboto-Light"/>
        </w:rPr>
        <w:t>EUR.</w:t>
      </w:r>
    </w:p>
    <w:p w:rsidR="008779CD" w:rsidRPr="008779CD" w:rsidRDefault="008779CD" w:rsidP="008779CD">
      <w:pPr>
        <w:spacing w:after="120" w:line="240" w:lineRule="auto"/>
        <w:ind w:left="360"/>
        <w:jc w:val="both"/>
        <w:rPr>
          <w:rFonts w:ascii="Century Gothic" w:hAnsi="Century Gothic" w:cs="Tahoma"/>
        </w:rPr>
      </w:pPr>
      <w:r w:rsidRPr="008779CD">
        <w:rPr>
          <w:rFonts w:ascii="Century Gothic" w:hAnsi="Century Gothic" w:cs="Tahoma"/>
        </w:rPr>
        <w:t xml:space="preserve">Les plans d’adaptation des gestionnaires de réseau de distribution d’électricité contiennent une série de données permettant à la CWaPE de vérifier si ceux-ci permettront au GRD d’assurer la continuité d’approvisionnement, la sécurité et le développement de ce réseau en tenant compte des mesures de gestion intelligente, d’efficacité énergétique, de gestion de la demande et d’intégration des productions décentralisées. </w:t>
      </w:r>
    </w:p>
    <w:p w:rsidR="00756CB3" w:rsidRDefault="008779CD" w:rsidP="00796F20">
      <w:pPr>
        <w:ind w:left="360"/>
        <w:jc w:val="both"/>
        <w:rPr>
          <w:rFonts w:ascii="Century Gothic" w:hAnsi="Century Gothic" w:cs="Roboto-Light"/>
        </w:rPr>
      </w:pPr>
      <w:r w:rsidRPr="008779CD">
        <w:rPr>
          <w:rFonts w:ascii="Century Gothic" w:hAnsi="Century Gothic" w:cs="Roboto-Light"/>
        </w:rPr>
        <w:t>Les réseaux sont confrontés à des défis techniques croissants, à mesure que la production décentralisée</w:t>
      </w:r>
      <w:r w:rsidR="00D90BEF">
        <w:rPr>
          <w:rFonts w:ascii="Century Gothic" w:hAnsi="Century Gothic" w:cs="Roboto-Light"/>
        </w:rPr>
        <w:t xml:space="preserve">, </w:t>
      </w:r>
      <w:r w:rsidR="00E239D6">
        <w:rPr>
          <w:rFonts w:ascii="Century Gothic" w:hAnsi="Century Gothic" w:cs="Roboto-Light"/>
        </w:rPr>
        <w:t>majoritairement</w:t>
      </w:r>
      <w:r w:rsidR="00D90BEF">
        <w:rPr>
          <w:rFonts w:ascii="Century Gothic" w:hAnsi="Century Gothic" w:cs="Roboto-Light"/>
        </w:rPr>
        <w:t xml:space="preserve"> renouvelable,</w:t>
      </w:r>
      <w:r w:rsidRPr="008779CD">
        <w:rPr>
          <w:rFonts w:ascii="Century Gothic" w:hAnsi="Century Gothic" w:cs="Roboto-Light"/>
        </w:rPr>
        <w:t xml:space="preserve"> voit son importance </w:t>
      </w:r>
      <w:r w:rsidR="00200E6B">
        <w:rPr>
          <w:rFonts w:ascii="Century Gothic" w:hAnsi="Century Gothic" w:cs="Roboto-Light"/>
        </w:rPr>
        <w:t>augmenter</w:t>
      </w:r>
      <w:r w:rsidRPr="008779CD">
        <w:rPr>
          <w:rFonts w:ascii="Century Gothic" w:hAnsi="Century Gothic" w:cs="Roboto-Light"/>
        </w:rPr>
        <w:t xml:space="preserve">. Les caractéristiques inhérentes à ces installations, telles que par exemple l’intermittence, la moindre inertie mécanique ou encore l’inversion des flux, impliquent de nouvelles façons de gérer les équilibres sur les réseaux. Ces réseaux doivent également répondre à des objectifs d’efficacité énergétique. Dès lors, ils doivent progressivement devenir plus dynamiques, plus flexibles. Les gestionnaires de réseaux envisagent des solutions de type «smart </w:t>
      </w:r>
      <w:proofErr w:type="spellStart"/>
      <w:r w:rsidRPr="008779CD">
        <w:rPr>
          <w:rFonts w:ascii="Century Gothic" w:hAnsi="Century Gothic" w:cs="Roboto-Light"/>
        </w:rPr>
        <w:t>grid</w:t>
      </w:r>
      <w:proofErr w:type="spellEnd"/>
      <w:r w:rsidRPr="008779CD">
        <w:rPr>
          <w:rFonts w:ascii="Century Gothic" w:hAnsi="Century Gothic" w:cs="Roboto-Light"/>
        </w:rPr>
        <w:t>» et des scenarii de déploiement de compteurs communicants.</w:t>
      </w:r>
    </w:p>
    <w:p w:rsidR="004E458F" w:rsidRPr="008779CD" w:rsidRDefault="004E458F" w:rsidP="004E458F">
      <w:pPr>
        <w:autoSpaceDE w:val="0"/>
        <w:autoSpaceDN w:val="0"/>
        <w:adjustRightInd w:val="0"/>
        <w:spacing w:after="120" w:line="240" w:lineRule="auto"/>
        <w:jc w:val="both"/>
        <w:rPr>
          <w:rFonts w:ascii="Century Gothic" w:hAnsi="Century Gothic"/>
        </w:rPr>
      </w:pPr>
      <w:r w:rsidRPr="008779CD">
        <w:rPr>
          <w:rFonts w:ascii="Century Gothic" w:hAnsi="Century Gothic" w:cs="Tahoma"/>
        </w:rPr>
        <w:lastRenderedPageBreak/>
        <w:t xml:space="preserve">Les nouvelles dispositions décrétales visent à améliorer la gestion des réseaux : efficacité énergétique, priorité d’accès aux énergies renouvelables et aux installations de cogénération, gestion active de la demande et gestion intelligente des réseaux </w:t>
      </w:r>
      <w:r w:rsidRPr="008779CD">
        <w:rPr>
          <w:rFonts w:ascii="Century Gothic" w:hAnsi="Century Gothic"/>
        </w:rPr>
        <w:t>pour éviter</w:t>
      </w:r>
      <w:r w:rsidR="005074B1">
        <w:rPr>
          <w:rFonts w:ascii="Century Gothic" w:hAnsi="Century Gothic"/>
        </w:rPr>
        <w:t xml:space="preserve">, là où cela ne s’avère pas </w:t>
      </w:r>
      <w:r w:rsidR="00980812">
        <w:rPr>
          <w:rFonts w:ascii="Century Gothic" w:hAnsi="Century Gothic"/>
        </w:rPr>
        <w:t>pertinent,</w:t>
      </w:r>
      <w:r w:rsidR="00980812" w:rsidRPr="008779CD">
        <w:rPr>
          <w:rFonts w:ascii="Century Gothic" w:hAnsi="Century Gothic"/>
        </w:rPr>
        <w:t xml:space="preserve"> un</w:t>
      </w:r>
      <w:r w:rsidRPr="008779CD">
        <w:rPr>
          <w:rFonts w:ascii="Century Gothic" w:hAnsi="Century Gothic"/>
        </w:rPr>
        <w:t xml:space="preserve"> renforcement de la capacité du réseau.</w:t>
      </w:r>
    </w:p>
    <w:p w:rsidR="004E458F" w:rsidRPr="008779CD" w:rsidRDefault="004E458F" w:rsidP="004E458F">
      <w:pPr>
        <w:tabs>
          <w:tab w:val="left" w:pos="709"/>
        </w:tabs>
        <w:spacing w:after="120" w:line="240" w:lineRule="auto"/>
        <w:jc w:val="both"/>
        <w:rPr>
          <w:rFonts w:ascii="Century Gothic" w:hAnsi="Century Gothic" w:cs="Tahoma"/>
        </w:rPr>
      </w:pPr>
      <w:r w:rsidRPr="008779CD">
        <w:rPr>
          <w:rFonts w:ascii="Century Gothic" w:hAnsi="Century Gothic" w:cs="Tahoma"/>
        </w:rPr>
        <w:t xml:space="preserve">En électricité, tout producteur disposant d’une installation de production sur le territoire de la Wallonie a un droit d’accès au réseau (distribution et transport local) et doit pouvoir se raccorder au réseau en moyenne et haute tension, conformément aux règlements techniques en vigueur. Toutefois, afin d’assurer la sécurité des réseaux, il s’agit d’un raccordement avec accès flexible. L’accès flexible permet de limiter, en cas de congestion, l’injection de l’électricité sur le réseau. La limitation de l’accès au réseau peut faire l’objet, pour les nouvelles installations et sous certaines conditions, d’une compensation financière pour le manque à gagner supporté par le producteur d’électricité verte, sauf si la limitation d’injection est due à un cas de force majeure tel que défini dans le règlement technique. En cas de congestion, le gestionnaire de réseau </w:t>
      </w:r>
      <w:r w:rsidR="008128AC">
        <w:rPr>
          <w:rFonts w:ascii="Century Gothic" w:hAnsi="Century Gothic" w:cs="Tahoma"/>
        </w:rPr>
        <w:t>doit </w:t>
      </w:r>
      <w:r w:rsidR="008128AC" w:rsidRPr="008779CD">
        <w:rPr>
          <w:rFonts w:ascii="Century Gothic" w:hAnsi="Century Gothic" w:cs="Tahoma"/>
        </w:rPr>
        <w:t xml:space="preserve"> </w:t>
      </w:r>
      <w:r w:rsidRPr="008779CD">
        <w:rPr>
          <w:rFonts w:ascii="Century Gothic" w:hAnsi="Century Gothic" w:cs="Tahoma"/>
        </w:rPr>
        <w:t xml:space="preserve">agir prioritairement sur les déplacements de charge avant d’agir sur la flexibilité d’accès des productions décentralisées. </w:t>
      </w:r>
      <w:r w:rsidRPr="008779CD">
        <w:rPr>
          <w:rFonts w:ascii="Century Gothic" w:hAnsi="Century Gothic"/>
        </w:rPr>
        <w:t xml:space="preserve">Dans une étude portant sur les réseaux intelligents, la CWaPE a estimé le potentiel de déplacement de la consommation en Wallonie pour les consommateurs résidentiels et professionnels raccordés aux réseaux de distribution. </w:t>
      </w:r>
      <w:r w:rsidRPr="008779CD">
        <w:rPr>
          <w:rFonts w:ascii="Century Gothic" w:hAnsi="Century Gothic" w:cs="Tahoma"/>
        </w:rPr>
        <w:t xml:space="preserve">Le raccordement avec accès flexible des unités de production décentralisées offre une solution complémentaire à la gestion active de la demande. </w:t>
      </w:r>
    </w:p>
    <w:p w:rsidR="004E458F" w:rsidRPr="008779CD" w:rsidRDefault="004E458F" w:rsidP="004E458F">
      <w:pPr>
        <w:pStyle w:val="Commentaire"/>
        <w:spacing w:after="120"/>
        <w:jc w:val="both"/>
        <w:rPr>
          <w:rFonts w:ascii="Century Gothic" w:hAnsi="Century Gothic" w:cs="Tahoma"/>
          <w:sz w:val="22"/>
          <w:szCs w:val="22"/>
        </w:rPr>
      </w:pPr>
      <w:r w:rsidRPr="008779CD">
        <w:rPr>
          <w:rFonts w:ascii="Century Gothic" w:eastAsia="AvenirLT-Light" w:hAnsi="Century Gothic" w:cs="AvenirLT-Light"/>
          <w:sz w:val="22"/>
          <w:szCs w:val="22"/>
        </w:rPr>
        <w:t>En 2011, la CWaPE a été chargée de réaliser une étude sur l’évolution des réseaux (REDI-Réseau électrique durable et intelligents). En outre, en concertation avec la CWaPE, ORES,</w:t>
      </w:r>
      <w:r w:rsidRPr="008779CD">
        <w:rPr>
          <w:rFonts w:ascii="Century Gothic" w:hAnsi="Century Gothic" w:cs="Tahoma"/>
          <w:sz w:val="22"/>
          <w:szCs w:val="22"/>
        </w:rPr>
        <w:t xml:space="preserve"> principal GRD de Wallonie, </w:t>
      </w:r>
      <w:r w:rsidRPr="008779CD">
        <w:rPr>
          <w:rFonts w:ascii="Century Gothic" w:eastAsia="AvenirLT-Light" w:hAnsi="Century Gothic" w:cs="AvenirLT-Light"/>
          <w:sz w:val="22"/>
          <w:szCs w:val="22"/>
        </w:rPr>
        <w:t xml:space="preserve">a lancé </w:t>
      </w:r>
      <w:r w:rsidRPr="008779CD">
        <w:rPr>
          <w:rFonts w:ascii="Century Gothic" w:hAnsi="Century Gothic" w:cs="Tahoma"/>
          <w:sz w:val="22"/>
          <w:szCs w:val="22"/>
        </w:rPr>
        <w:t xml:space="preserve">une campagne de mesure et de sensibilisation à la gestion active de la demande. </w:t>
      </w:r>
      <w:r w:rsidRPr="008779CD">
        <w:rPr>
          <w:rFonts w:ascii="Century Gothic" w:eastAsia="AvenirLT-Light" w:hAnsi="Century Gothic" w:cs="AvenirLT-Light"/>
          <w:sz w:val="22"/>
          <w:szCs w:val="22"/>
        </w:rPr>
        <w:t xml:space="preserve">Cette expérience-pilote visait à inciter environ 6.000 clients, dotés du tarif </w:t>
      </w:r>
      <w:proofErr w:type="spellStart"/>
      <w:r w:rsidRPr="008779CD">
        <w:rPr>
          <w:rFonts w:ascii="Century Gothic" w:eastAsia="AvenirLT-Light" w:hAnsi="Century Gothic" w:cs="AvenirLT-Light"/>
          <w:sz w:val="22"/>
          <w:szCs w:val="22"/>
        </w:rPr>
        <w:t>bihoraire</w:t>
      </w:r>
      <w:proofErr w:type="spellEnd"/>
      <w:r w:rsidRPr="008779CD">
        <w:rPr>
          <w:rFonts w:ascii="Century Gothic" w:eastAsia="AvenirLT-Light" w:hAnsi="Century Gothic" w:cs="AvenirLT-Light"/>
          <w:sz w:val="22"/>
          <w:szCs w:val="22"/>
        </w:rPr>
        <w:t xml:space="preserve"> et/ou exclusif de nuit, à déplacer durant neuf mois une partie de leur consommatio</w:t>
      </w:r>
      <w:r>
        <w:rPr>
          <w:rFonts w:ascii="Century Gothic" w:eastAsia="AvenirLT-Light" w:hAnsi="Century Gothic" w:cs="AvenirLT-Light"/>
          <w:sz w:val="22"/>
          <w:szCs w:val="22"/>
        </w:rPr>
        <w:t>n électrique vers une période où</w:t>
      </w:r>
      <w:r w:rsidRPr="008779CD">
        <w:rPr>
          <w:rFonts w:ascii="Century Gothic" w:eastAsia="AvenirLT-Light" w:hAnsi="Century Gothic" w:cs="AvenirLT-Light"/>
          <w:sz w:val="22"/>
          <w:szCs w:val="22"/>
        </w:rPr>
        <w:t xml:space="preserve"> l’ensoleillement est important, afin que celle-ci coïncide davantage avec la période de forte production des panneaux photovoltaïques. Dans ce cadre, l</w:t>
      </w:r>
      <w:r w:rsidRPr="008779CD">
        <w:rPr>
          <w:rFonts w:ascii="Century Gothic" w:hAnsi="Century Gothic" w:cs="Tahoma"/>
          <w:sz w:val="22"/>
          <w:szCs w:val="22"/>
        </w:rPr>
        <w:t>es périodes tarifaires ont été adaptées pour un échantillon représentatif de clients résidentiels, en introduisant une période d’heures creuses en début d’après-midi. Les résultats de cette campagne de mesure servent à affiner l’évaluation du potentiel. L’intérêt du déplacement de charge est évalué dans l’optique de la prévention des surtensions locales dues à la présence de productions décentralisée.</w:t>
      </w:r>
    </w:p>
    <w:p w:rsidR="004E458F" w:rsidRPr="008779CD" w:rsidRDefault="004E458F" w:rsidP="004E458F">
      <w:pPr>
        <w:pStyle w:val="Commentaire"/>
        <w:spacing w:after="120"/>
        <w:jc w:val="both"/>
        <w:rPr>
          <w:rFonts w:ascii="Century Gothic" w:hAnsi="Century Gothic" w:cs="Tahoma"/>
          <w:sz w:val="22"/>
          <w:szCs w:val="22"/>
        </w:rPr>
      </w:pPr>
      <w:r w:rsidRPr="008779CD">
        <w:rPr>
          <w:rFonts w:ascii="Century Gothic" w:hAnsi="Century Gothic" w:cs="Tahoma"/>
          <w:sz w:val="22"/>
          <w:szCs w:val="22"/>
        </w:rPr>
        <w:t xml:space="preserve">En 2012, à la demande du Gouvernement, la CWaPE a été chargée de mener une étude relative au déploiement des compteurs </w:t>
      </w:r>
      <w:r w:rsidR="00230E01">
        <w:rPr>
          <w:rFonts w:ascii="Century Gothic" w:hAnsi="Century Gothic" w:cs="Tahoma"/>
          <w:sz w:val="22"/>
          <w:szCs w:val="22"/>
        </w:rPr>
        <w:t>communicants</w:t>
      </w:r>
      <w:r w:rsidRPr="008779CD">
        <w:rPr>
          <w:rFonts w:ascii="Century Gothic" w:hAnsi="Century Gothic" w:cs="Tahoma"/>
          <w:sz w:val="22"/>
          <w:szCs w:val="22"/>
        </w:rPr>
        <w:t xml:space="preserve">. Celle-ci a conclu à une évaluation défavorable quant déploiement, à concurrence de 80% à l’horizon 2020, des compteurs intelligents. Dès lors, le Gouvernement a décidé de ne pas procéder au déploiement des compteurs </w:t>
      </w:r>
      <w:r w:rsidR="00AC615E">
        <w:rPr>
          <w:rFonts w:ascii="Century Gothic" w:hAnsi="Century Gothic" w:cs="Tahoma"/>
          <w:sz w:val="22"/>
          <w:szCs w:val="22"/>
        </w:rPr>
        <w:t>communicants</w:t>
      </w:r>
      <w:r w:rsidR="00AC615E" w:rsidRPr="008779CD">
        <w:rPr>
          <w:rFonts w:ascii="Century Gothic" w:hAnsi="Century Gothic" w:cs="Tahoma"/>
          <w:sz w:val="22"/>
          <w:szCs w:val="22"/>
        </w:rPr>
        <w:t xml:space="preserve"> </w:t>
      </w:r>
      <w:r w:rsidRPr="008779CD">
        <w:rPr>
          <w:rFonts w:ascii="Century Gothic" w:hAnsi="Century Gothic" w:cs="Tahoma"/>
          <w:sz w:val="22"/>
          <w:szCs w:val="22"/>
        </w:rPr>
        <w:t xml:space="preserve">à concurrence de 80% du parc à l’horizon 2020. Fin 2016, la CWaPE a été chargée d’actualiser l’étude susmentionnée, ainsi que de déterminer les fonctionnalités des compteurs </w:t>
      </w:r>
      <w:r w:rsidR="00956D63">
        <w:rPr>
          <w:rFonts w:ascii="Century Gothic" w:hAnsi="Century Gothic" w:cs="Tahoma"/>
          <w:sz w:val="22"/>
          <w:szCs w:val="22"/>
        </w:rPr>
        <w:t xml:space="preserve">communicants, avec un </w:t>
      </w:r>
      <w:proofErr w:type="spellStart"/>
      <w:r w:rsidR="00956D63">
        <w:rPr>
          <w:rFonts w:ascii="Century Gothic" w:hAnsi="Century Gothic" w:cs="Tahoma"/>
          <w:sz w:val="22"/>
          <w:szCs w:val="22"/>
        </w:rPr>
        <w:t>opt</w:t>
      </w:r>
      <w:proofErr w:type="spellEnd"/>
      <w:r w:rsidR="00956D63">
        <w:rPr>
          <w:rFonts w:ascii="Century Gothic" w:hAnsi="Century Gothic" w:cs="Tahoma"/>
          <w:sz w:val="22"/>
          <w:szCs w:val="22"/>
        </w:rPr>
        <w:t>-out possible pour la fonctionnalité de communication</w:t>
      </w:r>
      <w:r w:rsidRPr="008779CD">
        <w:rPr>
          <w:rFonts w:ascii="Century Gothic" w:hAnsi="Century Gothic" w:cs="Tahoma"/>
          <w:sz w:val="22"/>
          <w:szCs w:val="22"/>
        </w:rPr>
        <w:t>) et l’analyse de leur coût-bénéfice pour la Région wallonne. Les résultats de cette étude sont attendus pour juin 2017.</w:t>
      </w:r>
    </w:p>
    <w:p w:rsidR="004E458F" w:rsidRPr="008779CD" w:rsidRDefault="004E458F" w:rsidP="004E458F">
      <w:pPr>
        <w:spacing w:after="120" w:line="240" w:lineRule="auto"/>
        <w:jc w:val="both"/>
        <w:rPr>
          <w:rFonts w:ascii="Century Gothic" w:hAnsi="Century Gothic" w:cs="Tahoma"/>
        </w:rPr>
      </w:pPr>
      <w:r w:rsidRPr="008779CD">
        <w:rPr>
          <w:rFonts w:ascii="Century Gothic" w:hAnsi="Century Gothic" w:cs="Tahoma"/>
        </w:rPr>
        <w:t xml:space="preserve">En gaz, les plans d’investissement des gestionnaires de réseau de distribution contiennent une série de données permettant à la CWaPE de vérifier si ceux-ci permettront au GRD d’assurer la continuité d’approvisionnement, la sécurité et le développement de leur réseau. Ces plans intègrent également les informations liées à l’injection de gaz issus de renouvelables et aux mesures d’efficacité énergétique. </w:t>
      </w:r>
    </w:p>
    <w:p w:rsidR="004E458F" w:rsidRPr="008779CD" w:rsidRDefault="004E458F" w:rsidP="004E458F">
      <w:pPr>
        <w:spacing w:after="120" w:line="240" w:lineRule="auto"/>
        <w:jc w:val="both"/>
        <w:rPr>
          <w:rFonts w:ascii="Century Gothic" w:hAnsi="Century Gothic" w:cs="Roboto-Light"/>
        </w:rPr>
      </w:pPr>
      <w:r>
        <w:rPr>
          <w:rFonts w:ascii="Century Gothic" w:hAnsi="Century Gothic" w:cs="Tahoma"/>
        </w:rPr>
        <w:lastRenderedPageBreak/>
        <w:t xml:space="preserve">Outre </w:t>
      </w:r>
      <w:r w:rsidRPr="008779CD">
        <w:rPr>
          <w:rFonts w:ascii="Century Gothic" w:hAnsi="Century Gothic" w:cs="Tahoma"/>
        </w:rPr>
        <w:t xml:space="preserve">l’ouverture à la concurrence, l’amélioration du fonctionnement du marché et l’intégration des productions décentralisées, les décrets gaz et électricité consacrent des dispositions visant à améliorer la protection des clients. </w:t>
      </w:r>
      <w:r w:rsidRPr="008779CD">
        <w:rPr>
          <w:rFonts w:ascii="Century Gothic" w:hAnsi="Century Gothic" w:cs="Roboto-Light"/>
        </w:rPr>
        <w:t>Étant donné que l’accès à l’énergie pour l’ensemble de la population et la protection de l’environnement apparaissent comme une nécessité, la logique de marché concurrentiel imposée par la libéralisation doit nécessairement être assortie de balises. Dès lors, le législateur a imposé aux fournisseurs et aux GRD des obligations de service public, ci-après dénommées OSP, qu’ils doivent respecter.</w:t>
      </w:r>
    </w:p>
    <w:p w:rsidR="004E458F" w:rsidRPr="008779CD" w:rsidRDefault="004E458F" w:rsidP="004E458F">
      <w:pPr>
        <w:autoSpaceDE w:val="0"/>
        <w:autoSpaceDN w:val="0"/>
        <w:adjustRightInd w:val="0"/>
        <w:spacing w:after="120" w:line="240" w:lineRule="auto"/>
        <w:jc w:val="both"/>
        <w:rPr>
          <w:rFonts w:ascii="Century Gothic" w:hAnsi="Century Gothic" w:cs="Roboto-Light"/>
        </w:rPr>
      </w:pPr>
      <w:r w:rsidRPr="008779CD">
        <w:rPr>
          <w:rFonts w:ascii="Century Gothic" w:hAnsi="Century Gothic" w:cs="Roboto-Light"/>
        </w:rPr>
        <w:t>Les différentes obligations de service public peuvent être classées en plusieurs catégories distinctes qui permettent de mettre en évidence les multiples objectifs qu’elles poursuivent:</w:t>
      </w:r>
    </w:p>
    <w:p w:rsidR="004E458F" w:rsidRPr="008779CD" w:rsidRDefault="004E458F" w:rsidP="004E458F">
      <w:pPr>
        <w:pStyle w:val="Paragraphedeliste"/>
        <w:numPr>
          <w:ilvl w:val="0"/>
          <w:numId w:val="22"/>
        </w:numPr>
        <w:autoSpaceDE w:val="0"/>
        <w:autoSpaceDN w:val="0"/>
        <w:adjustRightInd w:val="0"/>
        <w:spacing w:after="120" w:line="240" w:lineRule="auto"/>
        <w:jc w:val="both"/>
        <w:rPr>
          <w:rFonts w:ascii="Century Gothic" w:hAnsi="Century Gothic" w:cs="Roboto-Light"/>
          <w:lang w:val="fr-BE"/>
        </w:rPr>
      </w:pPr>
      <w:r w:rsidRPr="008779CD">
        <w:rPr>
          <w:rFonts w:ascii="Century Gothic" w:hAnsi="Century Gothic" w:cs="Roboto-Light"/>
          <w:lang w:val="fr-BE"/>
        </w:rPr>
        <w:t>Les OSP dont l’objet est de garantir le bon fonctionnement des marchés, au niveau commercial, technique et organisationnel (par exemple: régularité et qualité des fournitures, procédure pour les déménagements, etc.);</w:t>
      </w:r>
    </w:p>
    <w:p w:rsidR="004E458F" w:rsidRPr="008779CD" w:rsidRDefault="004E458F" w:rsidP="004E458F">
      <w:pPr>
        <w:pStyle w:val="Paragraphedeliste"/>
        <w:numPr>
          <w:ilvl w:val="0"/>
          <w:numId w:val="22"/>
        </w:numPr>
        <w:autoSpaceDE w:val="0"/>
        <w:autoSpaceDN w:val="0"/>
        <w:adjustRightInd w:val="0"/>
        <w:spacing w:after="120" w:line="240" w:lineRule="auto"/>
        <w:jc w:val="both"/>
        <w:rPr>
          <w:rFonts w:ascii="Century Gothic" w:hAnsi="Century Gothic" w:cs="Roboto-Light"/>
          <w:lang w:val="fr-BE"/>
        </w:rPr>
      </w:pPr>
      <w:r w:rsidRPr="008779CD">
        <w:rPr>
          <w:rFonts w:ascii="Century Gothic" w:hAnsi="Century Gothic" w:cs="Roboto-Light"/>
          <w:lang w:val="fr-BE"/>
        </w:rPr>
        <w:t>Les OSP en matière de services à la clientèle (par exemple: facturation, gestion des plaintes, gestion des indemnisations, objectifs de performance);</w:t>
      </w:r>
    </w:p>
    <w:p w:rsidR="004E458F" w:rsidRPr="008779CD" w:rsidRDefault="004E458F" w:rsidP="004E458F">
      <w:pPr>
        <w:pStyle w:val="Paragraphedeliste"/>
        <w:numPr>
          <w:ilvl w:val="0"/>
          <w:numId w:val="22"/>
        </w:numPr>
        <w:autoSpaceDE w:val="0"/>
        <w:autoSpaceDN w:val="0"/>
        <w:adjustRightInd w:val="0"/>
        <w:spacing w:after="120" w:line="240" w:lineRule="auto"/>
        <w:jc w:val="both"/>
        <w:rPr>
          <w:rFonts w:ascii="Century Gothic" w:hAnsi="Century Gothic" w:cs="Roboto-Light"/>
          <w:lang w:val="fr-BE"/>
        </w:rPr>
      </w:pPr>
      <w:r w:rsidRPr="008779CD">
        <w:rPr>
          <w:rFonts w:ascii="Century Gothic" w:hAnsi="Century Gothic" w:cs="Roboto-Light"/>
          <w:lang w:val="fr-BE"/>
        </w:rPr>
        <w:t>Les OSP à caractère social, dont l’objet principal est la protection des clients résidentiels et, en particulier, des consommateurs les plus vulnérables (par exemple: notion de clients protégés, procédure de déclaration de défaut de paiement, procédure de placement d’un compteur à budget...);</w:t>
      </w:r>
    </w:p>
    <w:p w:rsidR="004E458F" w:rsidRPr="008779CD" w:rsidRDefault="004E458F" w:rsidP="004E458F">
      <w:pPr>
        <w:pStyle w:val="Paragraphedeliste"/>
        <w:numPr>
          <w:ilvl w:val="0"/>
          <w:numId w:val="22"/>
        </w:numPr>
        <w:autoSpaceDE w:val="0"/>
        <w:autoSpaceDN w:val="0"/>
        <w:adjustRightInd w:val="0"/>
        <w:spacing w:after="120" w:line="240" w:lineRule="auto"/>
        <w:jc w:val="both"/>
        <w:rPr>
          <w:rFonts w:ascii="Century Gothic" w:hAnsi="Century Gothic" w:cs="Roboto-Light"/>
          <w:lang w:val="fr-BE"/>
        </w:rPr>
      </w:pPr>
      <w:r w:rsidRPr="008779CD">
        <w:rPr>
          <w:rFonts w:ascii="Century Gothic" w:hAnsi="Century Gothic" w:cs="Roboto-Light"/>
          <w:lang w:val="fr-BE"/>
        </w:rPr>
        <w:t>Les OSP relatives à la promotion des énergies renouvelables tant en gaz qu’en électricité;</w:t>
      </w:r>
    </w:p>
    <w:p w:rsidR="004E458F" w:rsidRPr="008779CD" w:rsidRDefault="004E458F" w:rsidP="004E458F">
      <w:pPr>
        <w:pStyle w:val="Paragraphedeliste"/>
        <w:numPr>
          <w:ilvl w:val="0"/>
          <w:numId w:val="22"/>
        </w:numPr>
        <w:autoSpaceDE w:val="0"/>
        <w:autoSpaceDN w:val="0"/>
        <w:adjustRightInd w:val="0"/>
        <w:spacing w:after="120" w:line="240" w:lineRule="auto"/>
        <w:jc w:val="both"/>
        <w:rPr>
          <w:rFonts w:ascii="Century Gothic" w:hAnsi="Century Gothic" w:cs="Tahoma"/>
          <w:lang w:val="fr-BE"/>
        </w:rPr>
      </w:pPr>
      <w:r w:rsidRPr="008779CD">
        <w:rPr>
          <w:rFonts w:ascii="Century Gothic" w:hAnsi="Century Gothic" w:cs="Roboto-Light"/>
          <w:lang w:val="fr-BE"/>
        </w:rPr>
        <w:t>Les OSP relatives à l’information et la sensibilisation à l’utilisation rationnelle de l’énergie.</w:t>
      </w:r>
    </w:p>
    <w:p w:rsidR="004E458F" w:rsidRPr="008779CD" w:rsidRDefault="004E458F" w:rsidP="004E458F">
      <w:pPr>
        <w:pStyle w:val="Commentaire"/>
        <w:spacing w:after="120"/>
        <w:jc w:val="both"/>
        <w:rPr>
          <w:rFonts w:ascii="Century Gothic" w:hAnsi="Century Gothic"/>
          <w:sz w:val="22"/>
          <w:szCs w:val="22"/>
        </w:rPr>
      </w:pPr>
      <w:r w:rsidRPr="008779CD">
        <w:rPr>
          <w:rFonts w:ascii="Century Gothic" w:hAnsi="Century Gothic" w:cs="Tahoma"/>
          <w:sz w:val="22"/>
          <w:szCs w:val="22"/>
        </w:rPr>
        <w:t xml:space="preserve">Par ailleurs, suite au transfert de compétences liées à la sixième réforme de l’état, les tarifs des gestionnaires de réseaux de distribution sont à présent approuvés par la CWaPE sur la base d’une méthodologie tarifaire élaborée en concertation avec les GRD. Conformément aux règles énoncées dans les directives 2009/72/CE et 2009/73/CE, le décret tarifaire énonce des lignes directrices applicables à la méthodologie tarifaire (exhaustivité, transparence, couverture des coûts, financement des obligations, sécurité et prévisibilité, non-discrimination et proportionnalité, </w:t>
      </w:r>
      <w:r w:rsidR="00D23B6A">
        <w:rPr>
          <w:rFonts w:ascii="Century Gothic" w:hAnsi="Century Gothic" w:cs="Tahoma"/>
          <w:sz w:val="22"/>
          <w:szCs w:val="22"/>
        </w:rPr>
        <w:t>contribution équitable aux frais d’utilisation du réseau, notamment pour</w:t>
      </w:r>
      <w:r w:rsidRPr="008779CD">
        <w:rPr>
          <w:rFonts w:ascii="Century Gothic" w:hAnsi="Century Gothic" w:cs="Tahoma"/>
          <w:sz w:val="22"/>
          <w:szCs w:val="22"/>
        </w:rPr>
        <w:t xml:space="preserve"> </w:t>
      </w:r>
      <w:r w:rsidR="00C44384">
        <w:rPr>
          <w:rFonts w:ascii="Century Gothic" w:hAnsi="Century Gothic" w:cs="Tahoma"/>
          <w:sz w:val="22"/>
          <w:szCs w:val="22"/>
        </w:rPr>
        <w:t>l</w:t>
      </w:r>
      <w:r w:rsidRPr="008779CD">
        <w:rPr>
          <w:rFonts w:ascii="Century Gothic" w:hAnsi="Century Gothic" w:cs="Tahoma"/>
          <w:sz w:val="22"/>
          <w:szCs w:val="22"/>
        </w:rPr>
        <w:t xml:space="preserve">es taxes, prélèvements, liés aux obligations de service public imposées aux </w:t>
      </w:r>
      <w:r w:rsidRPr="008779CD">
        <w:rPr>
          <w:rFonts w:ascii="Century Gothic" w:hAnsi="Century Gothic" w:cs="Tahoma"/>
          <w:sz w:val="22"/>
          <w:szCs w:val="22"/>
        </w:rPr>
        <w:t xml:space="preserve">gestionnaires de réseau de distribution ainsi que des coûts échoués…). Les principes sous tendant la méthodologie tarifaire entendent également favoriser </w:t>
      </w:r>
      <w:r w:rsidRPr="008779CD">
        <w:rPr>
          <w:rFonts w:ascii="Century Gothic" w:hAnsi="Century Gothic"/>
          <w:sz w:val="22"/>
          <w:szCs w:val="22"/>
        </w:rPr>
        <w:t xml:space="preserve">la gestion intelligente des réseaux, </w:t>
      </w:r>
      <w:r w:rsidRPr="008779CD">
        <w:rPr>
          <w:rFonts w:ascii="Century Gothic" w:hAnsi="Century Gothic"/>
          <w:iCs/>
          <w:sz w:val="22"/>
          <w:szCs w:val="22"/>
        </w:rPr>
        <w:t xml:space="preserve">l’intégration des productions décentralisées, l’accès flexible, l'utilisation rationnelle de l'énergie et des infrastructures ainsi que l’efficacité énergétique </w:t>
      </w:r>
      <w:r w:rsidRPr="008779CD">
        <w:rPr>
          <w:rFonts w:ascii="Century Gothic" w:hAnsi="Century Gothic"/>
          <w:sz w:val="22"/>
          <w:szCs w:val="22"/>
        </w:rPr>
        <w:t>et la gestion active de la demande.</w:t>
      </w:r>
    </w:p>
    <w:p w:rsidR="004E458F" w:rsidRPr="008779CD" w:rsidRDefault="004E458F" w:rsidP="00796F20">
      <w:pPr>
        <w:ind w:left="360"/>
        <w:jc w:val="both"/>
        <w:rPr>
          <w:rFonts w:ascii="Century Gothic" w:hAnsi="Century Gothic"/>
        </w:rPr>
      </w:pPr>
    </w:p>
    <w:p w:rsidR="0033110E" w:rsidRDefault="0033110E">
      <w:pPr>
        <w:rPr>
          <w:rFonts w:ascii="Century Gothic" w:hAnsi="Century Gothic"/>
        </w:rPr>
      </w:pPr>
    </w:p>
    <w:p w:rsidR="00980812" w:rsidRDefault="00980812">
      <w:pPr>
        <w:rPr>
          <w:rFonts w:ascii="Century Gothic" w:hAnsi="Century Gothic"/>
        </w:rPr>
      </w:pPr>
    </w:p>
    <w:p w:rsidR="00980812" w:rsidRDefault="00980812">
      <w:pPr>
        <w:rPr>
          <w:rFonts w:ascii="Century Gothic" w:hAnsi="Century Gothic"/>
        </w:rPr>
      </w:pPr>
    </w:p>
    <w:p w:rsidR="00980812" w:rsidRPr="008779CD" w:rsidRDefault="00980812">
      <w:pPr>
        <w:rPr>
          <w:rFonts w:ascii="Century Gothic" w:hAnsi="Century Gothic"/>
        </w:rPr>
      </w:pPr>
    </w:p>
    <w:p w:rsidR="00756CB3" w:rsidRPr="008779CD" w:rsidRDefault="00756CB3" w:rsidP="008779CD">
      <w:pPr>
        <w:pStyle w:val="Titre1"/>
        <w:numPr>
          <w:ilvl w:val="0"/>
          <w:numId w:val="24"/>
        </w:numPr>
      </w:pPr>
      <w:bookmarkStart w:id="1" w:name="_Toc475442013"/>
      <w:r w:rsidRPr="008779CD">
        <w:lastRenderedPageBreak/>
        <w:t>Objectif de la consultation</w:t>
      </w:r>
      <w:bookmarkEnd w:id="1"/>
    </w:p>
    <w:p w:rsidR="008779CD" w:rsidRDefault="008779CD">
      <w:pPr>
        <w:rPr>
          <w:rFonts w:ascii="Century Gothic" w:hAnsi="Century Gothic"/>
        </w:rPr>
      </w:pPr>
    </w:p>
    <w:p w:rsidR="00756CB3" w:rsidRPr="001F3384" w:rsidRDefault="008779CD" w:rsidP="00783839">
      <w:pPr>
        <w:jc w:val="both"/>
        <w:rPr>
          <w:rFonts w:ascii="Century Gothic" w:hAnsi="Century Gothic"/>
        </w:rPr>
      </w:pPr>
      <w:r>
        <w:rPr>
          <w:rFonts w:ascii="Century Gothic" w:hAnsi="Century Gothic"/>
        </w:rPr>
        <w:t>La consultation a pour objectif</w:t>
      </w:r>
      <w:r w:rsidR="00783839">
        <w:rPr>
          <w:rFonts w:ascii="Century Gothic" w:hAnsi="Century Gothic"/>
        </w:rPr>
        <w:t>, sur base de l’inventaire succinct des politiques existantes, de susciter auprès des acteurs concernés des réactions</w:t>
      </w:r>
      <w:r w:rsidR="004C3CF6">
        <w:rPr>
          <w:rFonts w:ascii="Century Gothic" w:hAnsi="Century Gothic"/>
        </w:rPr>
        <w:t xml:space="preserve"> constructives</w:t>
      </w:r>
      <w:r w:rsidR="006A25FC">
        <w:rPr>
          <w:rFonts w:ascii="Century Gothic" w:hAnsi="Century Gothic"/>
        </w:rPr>
        <w:t>, permettant à l’A</w:t>
      </w:r>
      <w:r w:rsidR="00783839">
        <w:rPr>
          <w:rFonts w:ascii="Century Gothic" w:hAnsi="Century Gothic"/>
        </w:rPr>
        <w:t xml:space="preserve">dministration de mieux appréhender les réalités de terrain de chacune des parties, les risques, les opportunités, les barrières </w:t>
      </w:r>
      <w:r w:rsidR="00015FA9">
        <w:rPr>
          <w:rFonts w:ascii="Century Gothic" w:hAnsi="Century Gothic"/>
        </w:rPr>
        <w:t>qu’ils rencontrent,</w:t>
      </w:r>
      <w:r w:rsidR="00783839">
        <w:rPr>
          <w:rFonts w:ascii="Century Gothic" w:hAnsi="Century Gothic"/>
        </w:rPr>
        <w:t xml:space="preserve"> ainsi que les pistes à envisager pour le futur.  Cet exercice doit permettre à l’Administration de définir des propositions en matière de</w:t>
      </w:r>
      <w:r w:rsidR="00783839" w:rsidRPr="00783839">
        <w:rPr>
          <w:rFonts w:ascii="Century Gothic" w:hAnsi="Century Gothic"/>
        </w:rPr>
        <w:t xml:space="preserve"> </w:t>
      </w:r>
      <w:r w:rsidR="00783839">
        <w:rPr>
          <w:rFonts w:ascii="Century Gothic" w:hAnsi="Century Gothic"/>
        </w:rPr>
        <w:t>politique</w:t>
      </w:r>
      <w:r w:rsidR="001F3384">
        <w:rPr>
          <w:rFonts w:ascii="Century Gothic" w:hAnsi="Century Gothic"/>
        </w:rPr>
        <w:t>s et mesures cohérentes</w:t>
      </w:r>
      <w:r w:rsidR="00783839">
        <w:rPr>
          <w:rFonts w:ascii="Century Gothic" w:hAnsi="Century Gothic"/>
        </w:rPr>
        <w:t xml:space="preserve"> </w:t>
      </w:r>
      <w:r w:rsidR="001F3384">
        <w:rPr>
          <w:rFonts w:ascii="Century Gothic" w:hAnsi="Century Gothic"/>
        </w:rPr>
        <w:t>liée à l’intégration du marché en Wallonie,</w:t>
      </w:r>
      <w:r w:rsidR="00783839">
        <w:rPr>
          <w:rFonts w:ascii="Century Gothic" w:hAnsi="Century Gothic"/>
        </w:rPr>
        <w:t xml:space="preserve"> à l’horizon 2030, en tenant compte des besoins </w:t>
      </w:r>
      <w:r w:rsidR="00015FA9">
        <w:rPr>
          <w:rFonts w:ascii="Century Gothic" w:hAnsi="Century Gothic"/>
        </w:rPr>
        <w:t xml:space="preserve">et attentes </w:t>
      </w:r>
      <w:r w:rsidR="00783839">
        <w:rPr>
          <w:rFonts w:ascii="Century Gothic" w:hAnsi="Century Gothic"/>
        </w:rPr>
        <w:t xml:space="preserve">des différents acteurs ainsi que des objectifs stratégiques de l’Union européenne en matière de politique climatique et énergétique. </w:t>
      </w:r>
      <w:r w:rsidR="0058589D">
        <w:rPr>
          <w:rFonts w:ascii="Century Gothic" w:hAnsi="Century Gothic"/>
        </w:rPr>
        <w:t xml:space="preserve">Ceci vise </w:t>
      </w:r>
      <w:r w:rsidR="006937F9" w:rsidRPr="004155DE">
        <w:rPr>
          <w:rFonts w:ascii="Century Gothic" w:hAnsi="Century Gothic"/>
        </w:rPr>
        <w:t>essentiellement les améliorations à apporter au fonctionnement du marché, à l’intégration des énergies renouvelables, aux moyens de susciter l’investissement dans le développement des infrastructures, notamment renouvelables, à la régulation du marché en Wallonie.</w:t>
      </w:r>
    </w:p>
    <w:p w:rsidR="00B11C95" w:rsidRPr="008779CD" w:rsidRDefault="00B11C95" w:rsidP="008779CD">
      <w:pPr>
        <w:pStyle w:val="Titre1"/>
        <w:numPr>
          <w:ilvl w:val="0"/>
          <w:numId w:val="24"/>
        </w:numPr>
        <w:rPr>
          <w:rFonts w:ascii="Century Gothic" w:hAnsi="Century Gothic"/>
          <w:sz w:val="22"/>
          <w:szCs w:val="22"/>
        </w:rPr>
      </w:pPr>
      <w:bookmarkStart w:id="2" w:name="_Toc475442014"/>
      <w:r w:rsidRPr="008779CD">
        <w:t>Structure du document</w:t>
      </w:r>
      <w:bookmarkEnd w:id="2"/>
    </w:p>
    <w:p w:rsidR="00FE4329" w:rsidRDefault="00FE4329">
      <w:pPr>
        <w:rPr>
          <w:rFonts w:ascii="Century Gothic" w:hAnsi="Century Gothic"/>
        </w:rPr>
      </w:pPr>
    </w:p>
    <w:p w:rsidR="00910168" w:rsidRDefault="00FE4329" w:rsidP="00FD45FA">
      <w:pPr>
        <w:jc w:val="both"/>
        <w:rPr>
          <w:rFonts w:ascii="Century Gothic" w:hAnsi="Century Gothic"/>
        </w:rPr>
      </w:pPr>
      <w:r>
        <w:rPr>
          <w:rFonts w:ascii="Century Gothic" w:hAnsi="Century Gothic"/>
        </w:rPr>
        <w:t xml:space="preserve">Le document fournit un état des lieux des </w:t>
      </w:r>
      <w:r w:rsidR="00347EC0">
        <w:rPr>
          <w:rFonts w:ascii="Century Gothic" w:hAnsi="Century Gothic"/>
        </w:rPr>
        <w:t xml:space="preserve">principales </w:t>
      </w:r>
      <w:r>
        <w:rPr>
          <w:rFonts w:ascii="Century Gothic" w:hAnsi="Century Gothic"/>
        </w:rPr>
        <w:t xml:space="preserve">politiques existantes en matière d’intégration du marché, qui ont un impact pour la Wallonie. Il détaille </w:t>
      </w:r>
      <w:r w:rsidR="005E75D1">
        <w:rPr>
          <w:rFonts w:ascii="Century Gothic" w:hAnsi="Century Gothic"/>
        </w:rPr>
        <w:t xml:space="preserve">une série de </w:t>
      </w:r>
      <w:r>
        <w:rPr>
          <w:rFonts w:ascii="Century Gothic" w:hAnsi="Century Gothic"/>
        </w:rPr>
        <w:t xml:space="preserve"> mesures</w:t>
      </w:r>
      <w:r w:rsidR="00FB194B">
        <w:rPr>
          <w:rFonts w:ascii="Century Gothic" w:hAnsi="Century Gothic"/>
        </w:rPr>
        <w:t xml:space="preserve"> existantes</w:t>
      </w:r>
      <w:r>
        <w:rPr>
          <w:rFonts w:ascii="Century Gothic" w:hAnsi="Century Gothic"/>
        </w:rPr>
        <w:t xml:space="preserve"> </w:t>
      </w:r>
      <w:r w:rsidR="00FB194B">
        <w:rPr>
          <w:rFonts w:ascii="Century Gothic" w:hAnsi="Century Gothic"/>
        </w:rPr>
        <w:t>de type réglementaires, incitatives et de sensibilisation.</w:t>
      </w:r>
      <w:r w:rsidR="00347EC0">
        <w:rPr>
          <w:rFonts w:ascii="Century Gothic" w:hAnsi="Century Gothic"/>
        </w:rPr>
        <w:t xml:space="preserve"> Le document ne se veut pas exhaustif, mais doit être envisagé comme une base de réflexion. </w:t>
      </w:r>
      <w:r w:rsidR="00FD45FA">
        <w:rPr>
          <w:rFonts w:ascii="Century Gothic" w:hAnsi="Century Gothic"/>
        </w:rPr>
        <w:t xml:space="preserve"> </w:t>
      </w:r>
    </w:p>
    <w:p w:rsidR="00F45A69" w:rsidRDefault="00910168" w:rsidP="00FD45FA">
      <w:pPr>
        <w:jc w:val="both"/>
        <w:rPr>
          <w:rFonts w:ascii="Century Gothic" w:hAnsi="Century Gothic"/>
        </w:rPr>
      </w:pPr>
      <w:r>
        <w:rPr>
          <w:rFonts w:ascii="Century Gothic" w:hAnsi="Century Gothic"/>
        </w:rPr>
        <w:t>E</w:t>
      </w:r>
      <w:r w:rsidR="00FD45FA">
        <w:rPr>
          <w:rFonts w:ascii="Century Gothic" w:hAnsi="Century Gothic"/>
        </w:rPr>
        <w:t xml:space="preserve">n fin de document, </w:t>
      </w:r>
      <w:r w:rsidR="005E75D1">
        <w:rPr>
          <w:rFonts w:ascii="Century Gothic" w:hAnsi="Century Gothic"/>
        </w:rPr>
        <w:t>plusieurs</w:t>
      </w:r>
      <w:r w:rsidR="00FD45FA">
        <w:rPr>
          <w:rFonts w:ascii="Century Gothic" w:hAnsi="Century Gothic"/>
        </w:rPr>
        <w:t xml:space="preserve"> questions sont posées, qui doivent permettre, sur base des réponses obtenues de la part des acteurs concernés, de dresser une série de propositions innovantes sur les évolutions à apporter aux politiques existantes en matière d’intégration du marché de l’énergie d’ici à  2030 et ce, afin d’atteindre les objectifs ambitieux de la politique européenne en matière de réduction des émissions de gaz à effet de serre, tout en menant une politique énergétique cohérente. </w:t>
      </w:r>
    </w:p>
    <w:p w:rsidR="00B63B5C" w:rsidRDefault="00B63B5C">
      <w:pPr>
        <w:rPr>
          <w:rFonts w:ascii="Century Gothic" w:hAnsi="Century Gothic"/>
        </w:rPr>
      </w:pPr>
      <w:r>
        <w:rPr>
          <w:rFonts w:ascii="Century Gothic" w:hAnsi="Century Gothic"/>
        </w:rPr>
        <w:br w:type="page"/>
      </w:r>
    </w:p>
    <w:p w:rsidR="00B63B5C" w:rsidRPr="008779CD" w:rsidRDefault="00B63B5C" w:rsidP="00FD45FA">
      <w:pPr>
        <w:jc w:val="both"/>
        <w:rPr>
          <w:rFonts w:ascii="Century Gothic" w:hAnsi="Century Gothic"/>
        </w:rPr>
      </w:pPr>
    </w:p>
    <w:p w:rsidR="0016690D" w:rsidRPr="008779CD" w:rsidRDefault="00FD4DAB" w:rsidP="008779CD">
      <w:pPr>
        <w:pStyle w:val="Titre1"/>
        <w:numPr>
          <w:ilvl w:val="0"/>
          <w:numId w:val="24"/>
        </w:numPr>
      </w:pPr>
      <w:bookmarkStart w:id="3" w:name="_Toc475442015"/>
      <w:r w:rsidRPr="008779CD">
        <w:t xml:space="preserve">Etat des lieux </w:t>
      </w:r>
      <w:r w:rsidR="0016690D" w:rsidRPr="008779CD">
        <w:t>des politiques et mesures existantes</w:t>
      </w:r>
      <w:r w:rsidR="001C1FBC" w:rsidRPr="008779CD">
        <w:t xml:space="preserve"> en matière de politiques énergétique et climatique</w:t>
      </w:r>
      <w:r w:rsidR="00BE0C39" w:rsidRPr="008779CD">
        <w:t xml:space="preserve"> – Dimension  Intégration du marché</w:t>
      </w:r>
      <w:bookmarkEnd w:id="3"/>
    </w:p>
    <w:p w:rsidR="0016690D" w:rsidRPr="008779CD" w:rsidRDefault="0016690D">
      <w:pPr>
        <w:rPr>
          <w:rFonts w:ascii="Century Gothic" w:hAnsi="Century Gothic"/>
        </w:rPr>
      </w:pPr>
    </w:p>
    <w:p w:rsidR="00A73490" w:rsidRPr="008779CD" w:rsidRDefault="00F16C65" w:rsidP="008779CD">
      <w:pPr>
        <w:pStyle w:val="Titre2"/>
        <w:numPr>
          <w:ilvl w:val="1"/>
          <w:numId w:val="25"/>
        </w:numPr>
      </w:pPr>
      <w:bookmarkStart w:id="4" w:name="_Toc475442016"/>
      <w:r w:rsidRPr="008779CD">
        <w:t>Objectif</w:t>
      </w:r>
      <w:r w:rsidR="007A2DEA" w:rsidRPr="008779CD">
        <w:t>s</w:t>
      </w:r>
      <w:r w:rsidR="008D4D77" w:rsidRPr="008779CD">
        <w:t xml:space="preserve">  </w:t>
      </w:r>
      <w:r w:rsidR="008779CD" w:rsidRPr="008779CD">
        <w:t>en matière d’i</w:t>
      </w:r>
      <w:r w:rsidR="00F17EB5" w:rsidRPr="008779CD">
        <w:t>ntégration du marché</w:t>
      </w:r>
      <w:bookmarkEnd w:id="4"/>
    </w:p>
    <w:p w:rsidR="007D5C4B" w:rsidRPr="008779CD" w:rsidRDefault="007D5C4B" w:rsidP="001252A9">
      <w:pPr>
        <w:spacing w:after="120" w:line="240" w:lineRule="auto"/>
        <w:jc w:val="both"/>
        <w:rPr>
          <w:rFonts w:ascii="Century Gothic" w:hAnsi="Century Gothic" w:cs="Tahoma"/>
        </w:rPr>
      </w:pPr>
    </w:p>
    <w:p w:rsidR="00B346EE" w:rsidRDefault="00B346EE" w:rsidP="00A40B38">
      <w:pPr>
        <w:pStyle w:val="Commentaire"/>
        <w:spacing w:before="120" w:after="120"/>
        <w:jc w:val="both"/>
        <w:rPr>
          <w:rFonts w:ascii="Century Gothic" w:hAnsi="Century Gothic" w:cs="Tahoma"/>
          <w:sz w:val="22"/>
          <w:szCs w:val="22"/>
        </w:rPr>
      </w:pPr>
    </w:p>
    <w:p w:rsidR="00557611" w:rsidRDefault="00557611" w:rsidP="00A40B38">
      <w:pPr>
        <w:pStyle w:val="Commentaire"/>
        <w:spacing w:before="120" w:after="120"/>
        <w:jc w:val="both"/>
        <w:rPr>
          <w:rFonts w:ascii="Century Gothic" w:hAnsi="Century Gothic" w:cs="Tahoma"/>
          <w:sz w:val="22"/>
          <w:szCs w:val="22"/>
        </w:rPr>
      </w:pPr>
      <w:r>
        <w:rPr>
          <w:rFonts w:ascii="Century Gothic" w:hAnsi="Century Gothic" w:cs="Tahoma"/>
          <w:sz w:val="22"/>
          <w:szCs w:val="22"/>
        </w:rPr>
        <w:t xml:space="preserve">Au niveau européen, afin d’harmoniser et libéraliser le marché intérieur européen de l’énergie, plusieurs actes législatifs ont été adoptés entre 1996 et 2009. Ces mesures législatives ont pour objectif de faciliter l’accès au marché, d’améliorer la transparence du marché, la protection des consommateurs et de soutenir l’interconnexion entre Etats Membres. Ces mesures ont également eu pour conséquence la séparation des différents métiers de la chaîne énergétique, libéralisant ainsi la production et la fourniture, tandis que le transport et la distribution font l’objet d’une régulation puisqu’il s’agit d’activités </w:t>
      </w:r>
      <w:r w:rsidR="003B6473">
        <w:rPr>
          <w:rFonts w:ascii="Century Gothic" w:hAnsi="Century Gothic" w:cs="Tahoma"/>
          <w:sz w:val="22"/>
          <w:szCs w:val="22"/>
        </w:rPr>
        <w:t>monopolistiques</w:t>
      </w:r>
      <w:r>
        <w:rPr>
          <w:rFonts w:ascii="Century Gothic" w:hAnsi="Century Gothic" w:cs="Tahoma"/>
          <w:sz w:val="22"/>
          <w:szCs w:val="22"/>
        </w:rPr>
        <w:t xml:space="preserve">. </w:t>
      </w:r>
      <w:r w:rsidRPr="00557611">
        <w:rPr>
          <w:rFonts w:ascii="Century Gothic" w:hAnsi="Century Gothic" w:cs="Tahoma"/>
          <w:sz w:val="22"/>
          <w:szCs w:val="22"/>
        </w:rPr>
        <w:t>L’objectif</w:t>
      </w:r>
      <w:r>
        <w:rPr>
          <w:rFonts w:ascii="Century Gothic" w:hAnsi="Century Gothic" w:cs="Tahoma"/>
          <w:sz w:val="22"/>
          <w:szCs w:val="22"/>
        </w:rPr>
        <w:t xml:space="preserve"> poursuivi par l’Europe</w:t>
      </w:r>
      <w:r w:rsidRPr="00557611">
        <w:rPr>
          <w:rFonts w:ascii="Century Gothic" w:hAnsi="Century Gothic" w:cs="Tahoma"/>
          <w:sz w:val="22"/>
          <w:szCs w:val="22"/>
        </w:rPr>
        <w:t xml:space="preserve"> est de garantir un marché performant offrant un accès équitable et un niveau élevé de protection des consommateurs, ainsi que des niveaux appropriés de capacité d’interconnexion et de production</w:t>
      </w:r>
      <w:r>
        <w:rPr>
          <w:rFonts w:ascii="Century Gothic" w:hAnsi="Century Gothic" w:cs="Tahoma"/>
          <w:sz w:val="22"/>
          <w:szCs w:val="22"/>
        </w:rPr>
        <w:t xml:space="preserve">. </w:t>
      </w:r>
    </w:p>
    <w:p w:rsidR="00557611" w:rsidRDefault="00557611" w:rsidP="00A40B38">
      <w:pPr>
        <w:pStyle w:val="Commentaire"/>
        <w:spacing w:before="120" w:after="120"/>
        <w:jc w:val="both"/>
        <w:rPr>
          <w:rFonts w:ascii="Century Gothic" w:hAnsi="Century Gothic" w:cs="Tahoma"/>
          <w:sz w:val="22"/>
          <w:szCs w:val="22"/>
        </w:rPr>
      </w:pPr>
    </w:p>
    <w:p w:rsidR="00557611" w:rsidRDefault="000D5D97" w:rsidP="00A40B38">
      <w:pPr>
        <w:pStyle w:val="Commentaire"/>
        <w:spacing w:before="120" w:after="120"/>
        <w:jc w:val="both"/>
        <w:rPr>
          <w:rFonts w:ascii="Century Gothic" w:hAnsi="Century Gothic" w:cs="Tahoma"/>
          <w:sz w:val="22"/>
          <w:szCs w:val="22"/>
        </w:rPr>
      </w:pPr>
      <w:r>
        <w:rPr>
          <w:rFonts w:ascii="Century Gothic" w:hAnsi="Century Gothic" w:cs="Tahoma"/>
          <w:sz w:val="22"/>
          <w:szCs w:val="22"/>
        </w:rPr>
        <w:t>En 2015, la Commission européenne a publié sa stratégie pour l’Energie : Union de l’Energie. Cette stratégie entend agir sur plusieurs dimensions du système énergétique, dont l’intégration du marché. Pour la Belgique, ce</w:t>
      </w:r>
      <w:r w:rsidR="005E2655">
        <w:rPr>
          <w:rFonts w:ascii="Century Gothic" w:hAnsi="Century Gothic" w:cs="Tahoma"/>
          <w:sz w:val="22"/>
          <w:szCs w:val="22"/>
        </w:rPr>
        <w:t xml:space="preserve">tte </w:t>
      </w:r>
      <w:r>
        <w:rPr>
          <w:rFonts w:ascii="Century Gothic" w:hAnsi="Century Gothic" w:cs="Tahoma"/>
          <w:sz w:val="22"/>
          <w:szCs w:val="22"/>
        </w:rPr>
        <w:t xml:space="preserve"> compétence</w:t>
      </w:r>
      <w:r w:rsidR="005E2655">
        <w:rPr>
          <w:rFonts w:ascii="Century Gothic" w:hAnsi="Century Gothic" w:cs="Tahoma"/>
          <w:sz w:val="22"/>
          <w:szCs w:val="22"/>
        </w:rPr>
        <w:t xml:space="preserve"> est </w:t>
      </w:r>
      <w:r>
        <w:rPr>
          <w:rFonts w:ascii="Century Gothic" w:hAnsi="Century Gothic" w:cs="Tahoma"/>
          <w:sz w:val="22"/>
          <w:szCs w:val="22"/>
        </w:rPr>
        <w:t xml:space="preserve"> partagée entre l’Etat Fédéral et les Régions. Cependant, la Wallonie a un rôle important à jouer, notamment en matière de distribution de l’énergie, gestion des capacités, de stockage, de gestion de la flexibilité et d’accès à l’énergie. </w:t>
      </w:r>
    </w:p>
    <w:p w:rsidR="000D5D97" w:rsidRDefault="000D5D97" w:rsidP="00A40B38">
      <w:pPr>
        <w:pStyle w:val="Commentaire"/>
        <w:spacing w:before="120" w:after="120"/>
        <w:jc w:val="both"/>
        <w:rPr>
          <w:rFonts w:ascii="Century Gothic" w:hAnsi="Century Gothic" w:cs="Tahoma"/>
          <w:sz w:val="22"/>
          <w:szCs w:val="22"/>
        </w:rPr>
      </w:pPr>
    </w:p>
    <w:p w:rsidR="000D5D97" w:rsidRDefault="000D5D97" w:rsidP="00A40B38">
      <w:pPr>
        <w:pStyle w:val="Commentaire"/>
        <w:spacing w:before="120" w:after="120"/>
        <w:jc w:val="both"/>
        <w:rPr>
          <w:rFonts w:ascii="Century Gothic" w:hAnsi="Century Gothic" w:cs="Tahoma"/>
          <w:sz w:val="22"/>
          <w:szCs w:val="22"/>
        </w:rPr>
      </w:pPr>
      <w:r>
        <w:rPr>
          <w:rFonts w:ascii="Century Gothic" w:hAnsi="Century Gothic" w:cs="Tahoma"/>
          <w:sz w:val="22"/>
          <w:szCs w:val="22"/>
        </w:rPr>
        <w:t xml:space="preserve">La Commission européenne attend des Etats Membres qu’ils lui soumettent une série de politiques et mesures à mettre en œuvre afin de relever plusieurs défis d’ici à 2030. </w:t>
      </w:r>
    </w:p>
    <w:p w:rsidR="00CF5ED4" w:rsidRDefault="000D5D97" w:rsidP="000D5D97">
      <w:pPr>
        <w:pStyle w:val="Commentaire"/>
        <w:spacing w:before="120" w:after="120"/>
        <w:jc w:val="both"/>
        <w:rPr>
          <w:rFonts w:ascii="Century Gothic" w:hAnsi="Century Gothic" w:cs="Tahoma"/>
          <w:sz w:val="22"/>
          <w:szCs w:val="22"/>
        </w:rPr>
      </w:pPr>
      <w:r>
        <w:rPr>
          <w:rFonts w:ascii="Century Gothic" w:hAnsi="Century Gothic" w:cs="Tahoma"/>
          <w:sz w:val="22"/>
          <w:szCs w:val="22"/>
        </w:rPr>
        <w:t xml:space="preserve">Ces défis consistent à </w:t>
      </w:r>
      <w:r>
        <w:t xml:space="preserve"> </w:t>
      </w:r>
      <w:r w:rsidRPr="000D5D97">
        <w:rPr>
          <w:rFonts w:ascii="Century Gothic" w:hAnsi="Century Gothic" w:cs="Tahoma"/>
          <w:sz w:val="22"/>
          <w:szCs w:val="22"/>
        </w:rPr>
        <w:t xml:space="preserve">intégrer la diversité des sources d'énergie renouvelables et à assurer la sécurité de l'approvisionnement, </w:t>
      </w:r>
      <w:r>
        <w:rPr>
          <w:rFonts w:ascii="Century Gothic" w:hAnsi="Century Gothic" w:cs="Tahoma"/>
          <w:sz w:val="22"/>
          <w:szCs w:val="22"/>
        </w:rPr>
        <w:t>à prendre en</w:t>
      </w:r>
      <w:r w:rsidRPr="000D5D97">
        <w:rPr>
          <w:rFonts w:ascii="Century Gothic" w:hAnsi="Century Gothic" w:cs="Tahoma"/>
          <w:sz w:val="22"/>
          <w:szCs w:val="22"/>
        </w:rPr>
        <w:t xml:space="preserve"> charge la coordination des capacités au niveau régional, le stockage de l'énergie et une plus grande flexibilité d</w:t>
      </w:r>
      <w:r>
        <w:rPr>
          <w:rFonts w:ascii="Century Gothic" w:hAnsi="Century Gothic" w:cs="Tahoma"/>
          <w:sz w:val="22"/>
          <w:szCs w:val="22"/>
        </w:rPr>
        <w:t xml:space="preserve">ans la modulation de la demande. L’objectif est de </w:t>
      </w:r>
      <w:r w:rsidRPr="000D5D97">
        <w:rPr>
          <w:rFonts w:ascii="Century Gothic" w:hAnsi="Century Gothic" w:cs="Tahoma"/>
          <w:sz w:val="22"/>
          <w:szCs w:val="22"/>
        </w:rPr>
        <w:t xml:space="preserve"> </w:t>
      </w:r>
      <w:r>
        <w:rPr>
          <w:rFonts w:ascii="Century Gothic" w:hAnsi="Century Gothic" w:cs="Tahoma"/>
          <w:sz w:val="22"/>
          <w:szCs w:val="22"/>
        </w:rPr>
        <w:t xml:space="preserve">permettre </w:t>
      </w:r>
      <w:r w:rsidRPr="000D5D97">
        <w:rPr>
          <w:rFonts w:ascii="Century Gothic" w:hAnsi="Century Gothic" w:cs="Tahoma"/>
          <w:sz w:val="22"/>
          <w:szCs w:val="22"/>
        </w:rPr>
        <w:t xml:space="preserve"> aux consommateurs d'êtr</w:t>
      </w:r>
      <w:r>
        <w:rPr>
          <w:rFonts w:ascii="Century Gothic" w:hAnsi="Century Gothic" w:cs="Tahoma"/>
          <w:sz w:val="22"/>
          <w:szCs w:val="22"/>
        </w:rPr>
        <w:t xml:space="preserve">e davantage acteurs des marchés. </w:t>
      </w:r>
    </w:p>
    <w:p w:rsidR="000D5D97" w:rsidRDefault="00CF5ED4" w:rsidP="000D5D97">
      <w:pPr>
        <w:pStyle w:val="Commentaire"/>
        <w:spacing w:before="120" w:after="120"/>
        <w:jc w:val="both"/>
        <w:rPr>
          <w:rFonts w:ascii="Century Gothic" w:hAnsi="Century Gothic" w:cs="Tahoma"/>
          <w:sz w:val="22"/>
          <w:szCs w:val="22"/>
        </w:rPr>
      </w:pPr>
      <w:r>
        <w:rPr>
          <w:rFonts w:ascii="Century Gothic" w:hAnsi="Century Gothic" w:cs="Tahoma"/>
          <w:sz w:val="22"/>
          <w:szCs w:val="22"/>
        </w:rPr>
        <w:t xml:space="preserve">Dans ce cadre, l’Europe souhaite également renforcer les pouvoirs et de l’indépendance des régulateurs au niveau européen, afin d’assurer une meilleure gouvernance du système énergétique européen. </w:t>
      </w:r>
    </w:p>
    <w:p w:rsidR="000D5D97" w:rsidRDefault="00CF5ED4" w:rsidP="000D5D97">
      <w:pPr>
        <w:pStyle w:val="Commentaire"/>
        <w:spacing w:before="120" w:after="120"/>
        <w:jc w:val="both"/>
        <w:rPr>
          <w:rFonts w:ascii="Century Gothic" w:hAnsi="Century Gothic" w:cs="Tahoma"/>
          <w:sz w:val="22"/>
          <w:szCs w:val="22"/>
        </w:rPr>
      </w:pPr>
      <w:r>
        <w:rPr>
          <w:rFonts w:ascii="Century Gothic" w:hAnsi="Century Gothic" w:cs="Tahoma"/>
          <w:sz w:val="22"/>
          <w:szCs w:val="22"/>
        </w:rPr>
        <w:t>Par ailleurs, dans la situation que nous connaissons, les infrastructures énergétiques sont, de manière générale, financée</w:t>
      </w:r>
      <w:r w:rsidR="00F236AA">
        <w:rPr>
          <w:rFonts w:ascii="Century Gothic" w:hAnsi="Century Gothic" w:cs="Tahoma"/>
          <w:sz w:val="22"/>
          <w:szCs w:val="22"/>
        </w:rPr>
        <w:t>s</w:t>
      </w:r>
      <w:r>
        <w:rPr>
          <w:rFonts w:ascii="Century Gothic" w:hAnsi="Century Gothic" w:cs="Tahoma"/>
          <w:sz w:val="22"/>
          <w:szCs w:val="22"/>
        </w:rPr>
        <w:t xml:space="preserve"> par le consommateur, que ce soit pour la production ou pour le réseau. D’autres méthodes de financement doivent être envisagées à terme, afin de juguler l’augmentation de la facture énergétique. </w:t>
      </w:r>
    </w:p>
    <w:p w:rsidR="00557611" w:rsidRDefault="005E2655" w:rsidP="00A40B38">
      <w:pPr>
        <w:pStyle w:val="Commentaire"/>
        <w:spacing w:before="120" w:after="120"/>
        <w:jc w:val="both"/>
        <w:rPr>
          <w:rFonts w:ascii="Century Gothic" w:hAnsi="Century Gothic" w:cs="Tahoma"/>
          <w:sz w:val="22"/>
          <w:szCs w:val="22"/>
        </w:rPr>
      </w:pPr>
      <w:r>
        <w:rPr>
          <w:rFonts w:ascii="Century Gothic" w:hAnsi="Century Gothic" w:cs="Tahoma"/>
          <w:sz w:val="22"/>
          <w:szCs w:val="22"/>
        </w:rPr>
        <w:t xml:space="preserve">Enfin, l’accès à l’énergie pour tous et une énergie abordable reste un des objectifs poursuivis par l’Europe. </w:t>
      </w:r>
    </w:p>
    <w:p w:rsidR="00557611" w:rsidRDefault="00557611" w:rsidP="00A40B38">
      <w:pPr>
        <w:pStyle w:val="Commentaire"/>
        <w:spacing w:before="120" w:after="120"/>
        <w:jc w:val="both"/>
        <w:rPr>
          <w:rFonts w:ascii="Century Gothic" w:hAnsi="Century Gothic" w:cs="Tahoma"/>
          <w:sz w:val="22"/>
          <w:szCs w:val="22"/>
        </w:rPr>
        <w:sectPr w:rsidR="00557611" w:rsidSect="007E741E">
          <w:footerReference w:type="default" r:id="rId10"/>
          <w:pgSz w:w="11906" w:h="16838"/>
          <w:pgMar w:top="1417" w:right="1274" w:bottom="1417" w:left="1417" w:header="708" w:footer="708" w:gutter="0"/>
          <w:pgNumType w:start="1"/>
          <w:cols w:space="708"/>
          <w:docGrid w:linePitch="360"/>
        </w:sectPr>
      </w:pPr>
    </w:p>
    <w:p w:rsidR="00632FC8" w:rsidRPr="008779CD" w:rsidRDefault="00632FC8" w:rsidP="00A40B38">
      <w:pPr>
        <w:pStyle w:val="Commentaire"/>
        <w:spacing w:before="120" w:after="120"/>
        <w:jc w:val="both"/>
        <w:rPr>
          <w:rFonts w:ascii="Century Gothic" w:hAnsi="Century Gothic" w:cs="Tahoma"/>
          <w:sz w:val="22"/>
          <w:szCs w:val="22"/>
        </w:rPr>
      </w:pPr>
    </w:p>
    <w:p w:rsidR="00F16C65" w:rsidRPr="008779CD" w:rsidRDefault="00F16C65" w:rsidP="008779CD">
      <w:pPr>
        <w:pStyle w:val="Titre2"/>
        <w:numPr>
          <w:ilvl w:val="1"/>
          <w:numId w:val="25"/>
        </w:numPr>
      </w:pPr>
      <w:bookmarkStart w:id="5" w:name="_Toc475442017"/>
      <w:r w:rsidRPr="008779CD">
        <w:t>Mesures existantes</w:t>
      </w:r>
      <w:bookmarkEnd w:id="5"/>
    </w:p>
    <w:p w:rsidR="008D4D77" w:rsidRDefault="008D4D77" w:rsidP="00A73490">
      <w:pPr>
        <w:rPr>
          <w:rFonts w:ascii="Century Gothic" w:hAnsi="Century Gothic"/>
        </w:rPr>
      </w:pPr>
    </w:p>
    <w:p w:rsidR="00792A4E" w:rsidRPr="008779CD" w:rsidRDefault="00792A4E" w:rsidP="00A73490">
      <w:pPr>
        <w:rPr>
          <w:rFonts w:ascii="Century Gothic" w:hAnsi="Century Gothic"/>
        </w:rPr>
      </w:pPr>
      <w:r>
        <w:rPr>
          <w:rFonts w:ascii="Century Gothic" w:hAnsi="Century Gothic"/>
        </w:rPr>
        <w:t xml:space="preserve">Ci-dessous, une série de mesures existantes, en matière d’organisation des marchés, sont décrites, de manière synthétique. </w:t>
      </w:r>
    </w:p>
    <w:p w:rsidR="005F0538" w:rsidRPr="002A13DA" w:rsidRDefault="006F1855" w:rsidP="002A13DA">
      <w:pPr>
        <w:pStyle w:val="Paragraphedeliste"/>
        <w:numPr>
          <w:ilvl w:val="0"/>
          <w:numId w:val="27"/>
        </w:numPr>
        <w:rPr>
          <w:rFonts w:ascii="Century Gothic" w:hAnsi="Century Gothic"/>
          <w:b/>
          <w:i/>
          <w:color w:val="1F497D" w:themeColor="text2"/>
          <w:u w:val="single"/>
        </w:rPr>
      </w:pPr>
      <w:proofErr w:type="spellStart"/>
      <w:r w:rsidRPr="002A13DA">
        <w:rPr>
          <w:rFonts w:ascii="Century Gothic" w:hAnsi="Century Gothic"/>
          <w:b/>
          <w:i/>
          <w:color w:val="1F497D" w:themeColor="text2"/>
          <w:u w:val="single"/>
        </w:rPr>
        <w:t>Mesures</w:t>
      </w:r>
      <w:proofErr w:type="spellEnd"/>
      <w:r w:rsidRPr="002A13DA">
        <w:rPr>
          <w:rFonts w:ascii="Century Gothic" w:hAnsi="Century Gothic"/>
          <w:b/>
          <w:i/>
          <w:color w:val="1F497D" w:themeColor="text2"/>
          <w:u w:val="single"/>
        </w:rPr>
        <w:t xml:space="preserve"> d</w:t>
      </w:r>
      <w:r w:rsidR="005F0538" w:rsidRPr="002A13DA">
        <w:rPr>
          <w:rFonts w:ascii="Century Gothic" w:hAnsi="Century Gothic"/>
          <w:b/>
          <w:i/>
          <w:color w:val="1F497D" w:themeColor="text2"/>
          <w:u w:val="single"/>
        </w:rPr>
        <w:t xml:space="preserve">e type </w:t>
      </w:r>
      <w:proofErr w:type="spellStart"/>
      <w:r w:rsidR="005F0538" w:rsidRPr="002A13DA">
        <w:rPr>
          <w:rFonts w:ascii="Century Gothic" w:hAnsi="Century Gothic"/>
          <w:b/>
          <w:i/>
          <w:color w:val="1F497D" w:themeColor="text2"/>
          <w:u w:val="single"/>
        </w:rPr>
        <w:t>réglementaire</w:t>
      </w:r>
      <w:proofErr w:type="spellEnd"/>
    </w:p>
    <w:p w:rsidR="00EA2A5A" w:rsidRDefault="00EA2A5A" w:rsidP="00EA2A5A">
      <w:pPr>
        <w:rPr>
          <w:rFonts w:ascii="Century Gothic" w:hAnsi="Century Gothic"/>
          <w:b/>
          <w:color w:val="1F497D" w:themeColor="text2"/>
        </w:rPr>
      </w:pPr>
    </w:p>
    <w:tbl>
      <w:tblPr>
        <w:tblStyle w:val="Listeclaire-Accent1"/>
        <w:tblW w:w="15117" w:type="dxa"/>
        <w:tblLayout w:type="fixed"/>
        <w:tblLook w:val="04A0"/>
      </w:tblPr>
      <w:tblGrid>
        <w:gridCol w:w="2518"/>
        <w:gridCol w:w="10473"/>
        <w:gridCol w:w="2126"/>
      </w:tblGrid>
      <w:tr w:rsidR="002A6022" w:rsidTr="00B346EE">
        <w:trPr>
          <w:cnfStyle w:val="100000000000"/>
          <w:tblHeader/>
        </w:trPr>
        <w:tc>
          <w:tcPr>
            <w:cnfStyle w:val="001000000000"/>
            <w:tcW w:w="15117" w:type="dxa"/>
            <w:gridSpan w:val="3"/>
          </w:tcPr>
          <w:p w:rsidR="002A6022" w:rsidRDefault="002A6022" w:rsidP="00B346EE">
            <w:pPr>
              <w:rPr>
                <w:rFonts w:ascii="Century Gothic" w:hAnsi="Century Gothic"/>
                <w:sz w:val="24"/>
                <w:szCs w:val="24"/>
              </w:rPr>
            </w:pPr>
            <w:r w:rsidRPr="008769F8">
              <w:rPr>
                <w:rFonts w:ascii="Century Gothic" w:hAnsi="Century Gothic"/>
                <w:sz w:val="24"/>
                <w:szCs w:val="24"/>
              </w:rPr>
              <w:t xml:space="preserve">Dispositions applicables </w:t>
            </w:r>
            <w:r w:rsidR="003C3919">
              <w:rPr>
                <w:rFonts w:ascii="Century Gothic" w:hAnsi="Century Gothic"/>
                <w:sz w:val="24"/>
                <w:szCs w:val="24"/>
              </w:rPr>
              <w:t>aux missions</w:t>
            </w:r>
            <w:r w:rsidR="00733DF1">
              <w:rPr>
                <w:rFonts w:ascii="Century Gothic" w:hAnsi="Century Gothic"/>
                <w:sz w:val="24"/>
                <w:szCs w:val="24"/>
              </w:rPr>
              <w:t xml:space="preserve"> </w:t>
            </w:r>
            <w:r w:rsidR="009676E7">
              <w:rPr>
                <w:rFonts w:ascii="Century Gothic" w:hAnsi="Century Gothic"/>
                <w:sz w:val="24"/>
                <w:szCs w:val="24"/>
              </w:rPr>
              <w:t xml:space="preserve">des </w:t>
            </w:r>
            <w:r w:rsidRPr="008769F8">
              <w:rPr>
                <w:rFonts w:ascii="Century Gothic" w:hAnsi="Century Gothic"/>
                <w:sz w:val="24"/>
                <w:szCs w:val="24"/>
              </w:rPr>
              <w:t>gestionnaires de réseau</w:t>
            </w:r>
            <w:r w:rsidR="003C3919">
              <w:rPr>
                <w:rFonts w:ascii="Century Gothic" w:hAnsi="Century Gothic"/>
                <w:sz w:val="24"/>
                <w:szCs w:val="24"/>
              </w:rPr>
              <w:t>, à la gestion de l’infrastructure, aux raccordements et à l’accès au réseau</w:t>
            </w:r>
          </w:p>
          <w:p w:rsidR="008769F8" w:rsidRPr="008769F8" w:rsidRDefault="008769F8" w:rsidP="00B346EE">
            <w:pPr>
              <w:rPr>
                <w:rFonts w:ascii="Century Gothic" w:hAnsi="Century Gothic"/>
                <w:sz w:val="24"/>
                <w:szCs w:val="24"/>
              </w:rPr>
            </w:pPr>
          </w:p>
        </w:tc>
      </w:tr>
      <w:tr w:rsidR="008769F8" w:rsidTr="00B346EE">
        <w:trPr>
          <w:cnfStyle w:val="100000000000"/>
          <w:tblHeader/>
        </w:trPr>
        <w:tc>
          <w:tcPr>
            <w:cnfStyle w:val="001000000000"/>
            <w:tcW w:w="2518" w:type="dxa"/>
            <w:vAlign w:val="center"/>
          </w:tcPr>
          <w:p w:rsidR="002A6022" w:rsidRPr="008769F8" w:rsidRDefault="002A6022" w:rsidP="00B346EE">
            <w:pPr>
              <w:rPr>
                <w:rFonts w:ascii="Century Gothic" w:hAnsi="Century Gothic"/>
              </w:rPr>
            </w:pPr>
            <w:r w:rsidRPr="008769F8">
              <w:rPr>
                <w:rFonts w:ascii="Century Gothic" w:hAnsi="Century Gothic"/>
              </w:rPr>
              <w:t>Mesure</w:t>
            </w:r>
          </w:p>
        </w:tc>
        <w:tc>
          <w:tcPr>
            <w:tcW w:w="10473" w:type="dxa"/>
          </w:tcPr>
          <w:p w:rsidR="002A6022" w:rsidRPr="008769F8" w:rsidRDefault="002A6022" w:rsidP="00B346EE">
            <w:pPr>
              <w:cnfStyle w:val="100000000000"/>
              <w:rPr>
                <w:rFonts w:ascii="Century Gothic" w:hAnsi="Century Gothic"/>
              </w:rPr>
            </w:pPr>
            <w:r w:rsidRPr="008769F8">
              <w:rPr>
                <w:rFonts w:ascii="Century Gothic" w:hAnsi="Century Gothic"/>
              </w:rPr>
              <w:t>Description</w:t>
            </w:r>
          </w:p>
        </w:tc>
        <w:tc>
          <w:tcPr>
            <w:tcW w:w="2126" w:type="dxa"/>
          </w:tcPr>
          <w:p w:rsidR="002A6022" w:rsidRPr="008769F8" w:rsidRDefault="002A6022" w:rsidP="00B346EE">
            <w:pPr>
              <w:cnfStyle w:val="100000000000"/>
              <w:rPr>
                <w:rFonts w:ascii="Century Gothic" w:hAnsi="Century Gothic"/>
              </w:rPr>
            </w:pPr>
            <w:r w:rsidRPr="008769F8">
              <w:rPr>
                <w:rFonts w:ascii="Century Gothic" w:hAnsi="Century Gothic"/>
              </w:rPr>
              <w:t>Public visé</w:t>
            </w:r>
          </w:p>
        </w:tc>
      </w:tr>
      <w:tr w:rsidR="002A6022" w:rsidTr="00B346EE">
        <w:trPr>
          <w:cnfStyle w:val="000000100000"/>
          <w:trHeight w:val="861"/>
        </w:trPr>
        <w:tc>
          <w:tcPr>
            <w:cnfStyle w:val="001000000000"/>
            <w:tcW w:w="2518" w:type="dxa"/>
            <w:vAlign w:val="center"/>
          </w:tcPr>
          <w:p w:rsidR="002A6022" w:rsidRDefault="002A6022" w:rsidP="00B346EE">
            <w:pPr>
              <w:rPr>
                <w:rFonts w:ascii="Century Gothic" w:hAnsi="Century Gothic"/>
              </w:rPr>
            </w:pPr>
          </w:p>
          <w:p w:rsidR="002A6022" w:rsidRPr="002A6022" w:rsidRDefault="002A6022" w:rsidP="00B346EE">
            <w:pPr>
              <w:rPr>
                <w:rFonts w:ascii="Century Gothic" w:hAnsi="Century Gothic"/>
              </w:rPr>
            </w:pPr>
            <w:r w:rsidRPr="002A6022">
              <w:rPr>
                <w:rFonts w:ascii="Century Gothic" w:hAnsi="Century Gothic"/>
              </w:rPr>
              <w:t>Indépendance des GRD</w:t>
            </w:r>
            <w:r w:rsidRPr="002A6022">
              <w:rPr>
                <w:rFonts w:ascii="Century Gothic" w:hAnsi="Century Gothic"/>
              </w:rPr>
              <w:br/>
            </w:r>
          </w:p>
          <w:p w:rsidR="002A6022" w:rsidRPr="002A6022" w:rsidRDefault="002A6022" w:rsidP="00B346EE">
            <w:pPr>
              <w:rPr>
                <w:rFonts w:ascii="Century Gothic" w:hAnsi="Century Gothic"/>
              </w:rPr>
            </w:pPr>
          </w:p>
        </w:tc>
        <w:tc>
          <w:tcPr>
            <w:tcW w:w="10473" w:type="dxa"/>
            <w:vAlign w:val="center"/>
          </w:tcPr>
          <w:p w:rsidR="002A6022" w:rsidRPr="002A6022" w:rsidRDefault="002A6022" w:rsidP="00B346EE">
            <w:pPr>
              <w:cnfStyle w:val="000000100000"/>
              <w:rPr>
                <w:rFonts w:ascii="Century Gothic" w:hAnsi="Century Gothic"/>
              </w:rPr>
            </w:pPr>
            <w:r>
              <w:rPr>
                <w:rFonts w:ascii="Century Gothic" w:hAnsi="Century Gothic"/>
              </w:rPr>
              <w:t>L</w:t>
            </w:r>
            <w:r w:rsidRPr="002A6022">
              <w:rPr>
                <w:rFonts w:ascii="Century Gothic" w:hAnsi="Century Gothic"/>
              </w:rPr>
              <w:t>es dispositions</w:t>
            </w:r>
            <w:r>
              <w:rPr>
                <w:rFonts w:ascii="Century Gothic" w:hAnsi="Century Gothic"/>
              </w:rPr>
              <w:t xml:space="preserve"> légales</w:t>
            </w:r>
            <w:r w:rsidRPr="002A6022">
              <w:rPr>
                <w:rFonts w:ascii="Century Gothic" w:hAnsi="Century Gothic"/>
              </w:rPr>
              <w:t xml:space="preserve"> fixent les critères d’indépendance des gestionnaires de réseaux de distribution par rapport aux fournisseurs et producteurs</w:t>
            </w:r>
          </w:p>
        </w:tc>
        <w:tc>
          <w:tcPr>
            <w:tcW w:w="2126" w:type="dxa"/>
            <w:vAlign w:val="center"/>
          </w:tcPr>
          <w:p w:rsidR="002A6022" w:rsidRPr="002A6022" w:rsidRDefault="002A6022" w:rsidP="00B346EE">
            <w:pPr>
              <w:cnfStyle w:val="000000100000"/>
              <w:rPr>
                <w:rFonts w:ascii="Century Gothic" w:hAnsi="Century Gothic"/>
              </w:rPr>
            </w:pPr>
            <w:r w:rsidRPr="002A6022">
              <w:rPr>
                <w:rFonts w:ascii="Century Gothic" w:hAnsi="Century Gothic"/>
              </w:rPr>
              <w:t>GRD</w:t>
            </w:r>
          </w:p>
        </w:tc>
      </w:tr>
      <w:tr w:rsidR="002A6022" w:rsidTr="00B346EE">
        <w:tc>
          <w:tcPr>
            <w:cnfStyle w:val="001000000000"/>
            <w:tcW w:w="2518" w:type="dxa"/>
            <w:vAlign w:val="center"/>
          </w:tcPr>
          <w:p w:rsidR="002A6022" w:rsidRPr="002A6022" w:rsidRDefault="002A6022" w:rsidP="00B346EE">
            <w:pPr>
              <w:rPr>
                <w:rFonts w:ascii="Century Gothic" w:hAnsi="Century Gothic"/>
              </w:rPr>
            </w:pPr>
            <w:r w:rsidRPr="002A6022">
              <w:rPr>
                <w:rFonts w:ascii="Century Gothic" w:hAnsi="Century Gothic"/>
              </w:rPr>
              <w:t>Mission des GRD</w:t>
            </w:r>
            <w:r w:rsidRPr="002A6022">
              <w:rPr>
                <w:rFonts w:ascii="Century Gothic" w:hAnsi="Century Gothic"/>
              </w:rPr>
              <w:br/>
            </w:r>
          </w:p>
          <w:p w:rsidR="002A6022" w:rsidRPr="002A6022" w:rsidRDefault="002A6022" w:rsidP="00B346EE">
            <w:pPr>
              <w:rPr>
                <w:rFonts w:ascii="Century Gothic" w:hAnsi="Century Gothic"/>
              </w:rPr>
            </w:pPr>
          </w:p>
        </w:tc>
        <w:tc>
          <w:tcPr>
            <w:tcW w:w="10473" w:type="dxa"/>
            <w:vAlign w:val="center"/>
          </w:tcPr>
          <w:p w:rsidR="002A6022" w:rsidRDefault="002A6022" w:rsidP="00B346EE">
            <w:pPr>
              <w:cnfStyle w:val="000000000000"/>
              <w:rPr>
                <w:rFonts w:ascii="Century Gothic" w:hAnsi="Century Gothic"/>
              </w:rPr>
            </w:pPr>
            <w:r w:rsidRPr="002A6022">
              <w:rPr>
                <w:rFonts w:ascii="Century Gothic" w:hAnsi="Century Gothic"/>
              </w:rPr>
              <w:t> </w:t>
            </w:r>
            <w:r>
              <w:rPr>
                <w:rFonts w:ascii="Century Gothic" w:hAnsi="Century Gothic"/>
              </w:rPr>
              <w:t>L</w:t>
            </w:r>
            <w:r w:rsidRPr="002A6022">
              <w:rPr>
                <w:rFonts w:ascii="Century Gothic" w:hAnsi="Century Gothic"/>
              </w:rPr>
              <w:t xml:space="preserve">es dispositions </w:t>
            </w:r>
            <w:r>
              <w:rPr>
                <w:rFonts w:ascii="Century Gothic" w:hAnsi="Century Gothic"/>
              </w:rPr>
              <w:t xml:space="preserve">légales </w:t>
            </w:r>
            <w:r w:rsidRPr="002A6022">
              <w:rPr>
                <w:rFonts w:ascii="Century Gothic" w:hAnsi="Century Gothic"/>
              </w:rPr>
              <w:t>précisent les tâches et missions du GRD chargé de garantir l'exploitation, l'entretien et le développement du réseau dans des conditions socialement, techniquement et économiquement raisonnables, y compris les interconnexions avec d'autres réseaux, en vue d'assurer la sécurité et la continuité d'approvisionnement dans le respect de l'environnement et de l'efficacité énergétique.</w:t>
            </w:r>
          </w:p>
          <w:p w:rsidR="008769F8" w:rsidRPr="002A6022" w:rsidRDefault="008769F8" w:rsidP="00B346EE">
            <w:pPr>
              <w:cnfStyle w:val="000000000000"/>
              <w:rPr>
                <w:rFonts w:ascii="Century Gothic" w:hAnsi="Century Gothic"/>
              </w:rPr>
            </w:pPr>
          </w:p>
        </w:tc>
        <w:tc>
          <w:tcPr>
            <w:tcW w:w="2126" w:type="dxa"/>
            <w:vAlign w:val="center"/>
          </w:tcPr>
          <w:p w:rsidR="002A6022" w:rsidRPr="002A6022" w:rsidRDefault="002A6022" w:rsidP="00B346EE">
            <w:pPr>
              <w:cnfStyle w:val="000000000000"/>
              <w:rPr>
                <w:rFonts w:ascii="Century Gothic" w:hAnsi="Century Gothic"/>
              </w:rPr>
            </w:pPr>
            <w:r w:rsidRPr="002A6022">
              <w:rPr>
                <w:rFonts w:ascii="Century Gothic" w:hAnsi="Century Gothic"/>
              </w:rPr>
              <w:t>GR</w:t>
            </w:r>
          </w:p>
        </w:tc>
      </w:tr>
      <w:tr w:rsidR="003C3919" w:rsidTr="00B346EE">
        <w:trPr>
          <w:cnfStyle w:val="000000100000"/>
        </w:trPr>
        <w:tc>
          <w:tcPr>
            <w:cnfStyle w:val="001000000000"/>
            <w:tcW w:w="2518" w:type="dxa"/>
            <w:vAlign w:val="center"/>
          </w:tcPr>
          <w:p w:rsidR="003C3919" w:rsidRPr="008779CD" w:rsidRDefault="003C3919" w:rsidP="00B346EE">
            <w:pPr>
              <w:rPr>
                <w:rFonts w:ascii="Century Gothic" w:hAnsi="Century Gothic"/>
              </w:rPr>
            </w:pPr>
            <w:r w:rsidRPr="008779CD">
              <w:rPr>
                <w:rFonts w:ascii="Century Gothic" w:hAnsi="Century Gothic"/>
              </w:rPr>
              <w:t xml:space="preserve">Règlement technique </w:t>
            </w:r>
            <w:r w:rsidRPr="008779CD">
              <w:rPr>
                <w:rFonts w:ascii="Century Gothic" w:hAnsi="Century Gothic"/>
              </w:rPr>
              <w:br/>
            </w:r>
          </w:p>
          <w:p w:rsidR="003C3919" w:rsidRPr="008779CD" w:rsidRDefault="003C3919" w:rsidP="00B346EE">
            <w:pPr>
              <w:autoSpaceDE w:val="0"/>
              <w:autoSpaceDN w:val="0"/>
              <w:adjustRightInd w:val="0"/>
              <w:spacing w:before="120"/>
              <w:rPr>
                <w:rFonts w:ascii="Century Gothic" w:hAnsi="Century Gothic"/>
              </w:rPr>
            </w:pPr>
          </w:p>
        </w:tc>
        <w:tc>
          <w:tcPr>
            <w:tcW w:w="10473" w:type="dxa"/>
            <w:vAlign w:val="center"/>
          </w:tcPr>
          <w:p w:rsidR="003C3919" w:rsidRDefault="003C3919" w:rsidP="00B346EE">
            <w:pPr>
              <w:cnfStyle w:val="000000100000"/>
              <w:rPr>
                <w:rFonts w:ascii="Century Gothic" w:hAnsi="Century Gothic"/>
              </w:rPr>
            </w:pPr>
            <w:r w:rsidRPr="008779CD">
              <w:rPr>
                <w:rFonts w:ascii="Century Gothic" w:hAnsi="Century Gothic"/>
              </w:rPr>
              <w:t>Le règlement technique définit notamment les exigences techniques et les procédures relatives aux infrastructures, aux raccordements et à l’accès aux réseaux.</w:t>
            </w:r>
          </w:p>
          <w:p w:rsidR="003C3919" w:rsidRPr="008779CD" w:rsidRDefault="003C3919" w:rsidP="00B346EE">
            <w:pPr>
              <w:cnfStyle w:val="000000100000"/>
              <w:rPr>
                <w:rFonts w:ascii="Century Gothic" w:hAnsi="Century Gothic"/>
              </w:rPr>
            </w:pPr>
          </w:p>
        </w:tc>
        <w:tc>
          <w:tcPr>
            <w:tcW w:w="2126" w:type="dxa"/>
            <w:vAlign w:val="center"/>
          </w:tcPr>
          <w:p w:rsidR="003C3919" w:rsidRPr="008779CD" w:rsidRDefault="003C3919" w:rsidP="00B346EE">
            <w:pPr>
              <w:cnfStyle w:val="000000100000"/>
              <w:rPr>
                <w:rFonts w:ascii="Century Gothic" w:hAnsi="Century Gothic"/>
              </w:rPr>
            </w:pPr>
            <w:r w:rsidRPr="008779CD">
              <w:rPr>
                <w:rFonts w:ascii="Century Gothic" w:hAnsi="Century Gothic"/>
              </w:rPr>
              <w:t>GR/fournisseurs/</w:t>
            </w:r>
            <w:r w:rsidR="008B6152">
              <w:rPr>
                <w:rFonts w:ascii="Century Gothic" w:hAnsi="Century Gothic"/>
              </w:rPr>
              <w:t xml:space="preserve"> </w:t>
            </w:r>
            <w:r w:rsidRPr="008779CD">
              <w:rPr>
                <w:rFonts w:ascii="Century Gothic" w:hAnsi="Century Gothic"/>
              </w:rPr>
              <w:t>producteurs</w:t>
            </w:r>
          </w:p>
        </w:tc>
      </w:tr>
      <w:tr w:rsidR="003C3919" w:rsidTr="00B346EE">
        <w:tc>
          <w:tcPr>
            <w:cnfStyle w:val="001000000000"/>
            <w:tcW w:w="2518" w:type="dxa"/>
            <w:vAlign w:val="center"/>
          </w:tcPr>
          <w:p w:rsidR="003C3919" w:rsidRPr="008779CD" w:rsidRDefault="003C3919" w:rsidP="00B346EE">
            <w:pPr>
              <w:rPr>
                <w:rFonts w:ascii="Century Gothic" w:hAnsi="Century Gothic"/>
              </w:rPr>
            </w:pPr>
            <w:r w:rsidRPr="008779CD">
              <w:rPr>
                <w:rFonts w:ascii="Century Gothic" w:hAnsi="Century Gothic"/>
              </w:rPr>
              <w:t>Plan d’adaptation en électricité et plan d’investissement en gaz</w:t>
            </w:r>
          </w:p>
        </w:tc>
        <w:tc>
          <w:tcPr>
            <w:tcW w:w="10473" w:type="dxa"/>
            <w:vAlign w:val="center"/>
          </w:tcPr>
          <w:p w:rsidR="003C3919" w:rsidRPr="008779CD" w:rsidRDefault="003C3919" w:rsidP="00B346EE">
            <w:pPr>
              <w:cnfStyle w:val="000000000000"/>
              <w:rPr>
                <w:rFonts w:ascii="Century Gothic" w:hAnsi="Century Gothic"/>
              </w:rPr>
            </w:pPr>
            <w:r w:rsidRPr="008779CD">
              <w:rPr>
                <w:rFonts w:ascii="Century Gothic" w:hAnsi="Century Gothic"/>
              </w:rPr>
              <w:t xml:space="preserve">Lors de l'élaboration de leur plan d'adaptation, les gestionnaires de réseaux électrique envisagent notamment les mesures de gestion intelligente du réseau, de gestion active de la demande, d'efficacité énergétique, d'intégration des productions décentralisées et d'accès flexibles pour permettre d'éviter le renforcement de la capacité du réseau… Le plan intègre  les </w:t>
            </w:r>
            <w:r w:rsidRPr="008779CD">
              <w:rPr>
                <w:rFonts w:ascii="Century Gothic" w:hAnsi="Century Gothic"/>
              </w:rPr>
              <w:lastRenderedPageBreak/>
              <w:t>données et objectifs relatifs à ces problématiques.</w:t>
            </w:r>
            <w:r w:rsidRPr="008779CD">
              <w:rPr>
                <w:rFonts w:ascii="Century Gothic" w:hAnsi="Century Gothic"/>
              </w:rPr>
              <w:br/>
              <w:t>Les plans d’investissement estiment notamment les besoins en capacité, compte tenu de l'évolution probable du développement de l'injection sur le réseau de gaz issus de renouvelables et de l'utilisation du gaz à des fins de mobilité, de la consommation, des mesures d'efficacité énergétique et des échanges avec les autres réseaux, Ils intègrent les données relatives aux systèmes intelligents de mesures.</w:t>
            </w:r>
          </w:p>
        </w:tc>
        <w:tc>
          <w:tcPr>
            <w:tcW w:w="2126" w:type="dxa"/>
            <w:vAlign w:val="center"/>
          </w:tcPr>
          <w:p w:rsidR="003C3919" w:rsidRPr="008779CD" w:rsidRDefault="003C3919" w:rsidP="00B346EE">
            <w:pPr>
              <w:cnfStyle w:val="000000000000"/>
              <w:rPr>
                <w:rFonts w:ascii="Century Gothic" w:hAnsi="Century Gothic"/>
              </w:rPr>
            </w:pPr>
            <w:r w:rsidRPr="008779CD">
              <w:rPr>
                <w:rFonts w:ascii="Century Gothic" w:hAnsi="Century Gothic"/>
              </w:rPr>
              <w:lastRenderedPageBreak/>
              <w:t>GR</w:t>
            </w:r>
          </w:p>
        </w:tc>
      </w:tr>
      <w:tr w:rsidR="003C3919" w:rsidTr="00B346EE">
        <w:trPr>
          <w:cnfStyle w:val="000000100000"/>
        </w:trPr>
        <w:tc>
          <w:tcPr>
            <w:cnfStyle w:val="001000000000"/>
            <w:tcW w:w="2518" w:type="dxa"/>
            <w:vAlign w:val="center"/>
          </w:tcPr>
          <w:p w:rsidR="003C3919" w:rsidRPr="008779CD" w:rsidRDefault="003C3919" w:rsidP="00B346EE">
            <w:pPr>
              <w:rPr>
                <w:rFonts w:ascii="Century Gothic" w:hAnsi="Century Gothic"/>
              </w:rPr>
            </w:pPr>
            <w:r w:rsidRPr="008779CD">
              <w:rPr>
                <w:rFonts w:ascii="Century Gothic" w:hAnsi="Century Gothic"/>
              </w:rPr>
              <w:lastRenderedPageBreak/>
              <w:t xml:space="preserve">Raccordement réseaux des installations de production </w:t>
            </w:r>
            <w:r w:rsidRPr="008779CD">
              <w:rPr>
                <w:rFonts w:ascii="Century Gothic" w:hAnsi="Century Gothic"/>
              </w:rPr>
              <w:br/>
            </w:r>
          </w:p>
        </w:tc>
        <w:tc>
          <w:tcPr>
            <w:tcW w:w="10473" w:type="dxa"/>
            <w:vAlign w:val="center"/>
          </w:tcPr>
          <w:p w:rsidR="003C3919" w:rsidRPr="008779CD" w:rsidRDefault="003C3919" w:rsidP="00B346EE">
            <w:pPr>
              <w:cnfStyle w:val="000000100000"/>
              <w:rPr>
                <w:rFonts w:ascii="Century Gothic" w:hAnsi="Century Gothic"/>
              </w:rPr>
            </w:pPr>
            <w:r w:rsidRPr="008779CD">
              <w:rPr>
                <w:rFonts w:ascii="Century Gothic" w:hAnsi="Century Gothic"/>
              </w:rPr>
              <w:t>Cette disposition prévoit l’obligation de raccordement au réseau de transport local pour les installations de production, même en cas de capacités limitées du réseau, moyennant la possibilité de réduire la production en cas de congestion.</w:t>
            </w:r>
          </w:p>
        </w:tc>
        <w:tc>
          <w:tcPr>
            <w:tcW w:w="2126" w:type="dxa"/>
            <w:vAlign w:val="center"/>
          </w:tcPr>
          <w:p w:rsidR="003C3919" w:rsidRPr="008779CD" w:rsidRDefault="003C3919" w:rsidP="00B346EE">
            <w:pPr>
              <w:cnfStyle w:val="000000100000"/>
              <w:rPr>
                <w:rFonts w:ascii="Century Gothic" w:hAnsi="Century Gothic"/>
              </w:rPr>
            </w:pPr>
            <w:r w:rsidRPr="008779CD">
              <w:rPr>
                <w:rFonts w:ascii="Century Gothic" w:hAnsi="Century Gothic"/>
              </w:rPr>
              <w:t>GR/producteurs</w:t>
            </w:r>
          </w:p>
        </w:tc>
      </w:tr>
      <w:tr w:rsidR="003C3919" w:rsidTr="00B346EE">
        <w:tc>
          <w:tcPr>
            <w:cnfStyle w:val="001000000000"/>
            <w:tcW w:w="2518" w:type="dxa"/>
            <w:vAlign w:val="center"/>
          </w:tcPr>
          <w:p w:rsidR="003C3919" w:rsidRPr="008779CD" w:rsidRDefault="003C3919" w:rsidP="00B346EE">
            <w:pPr>
              <w:rPr>
                <w:rFonts w:ascii="Century Gothic" w:hAnsi="Century Gothic"/>
              </w:rPr>
            </w:pPr>
            <w:r w:rsidRPr="008779CD">
              <w:rPr>
                <w:rFonts w:ascii="Century Gothic" w:hAnsi="Century Gothic"/>
              </w:rPr>
              <w:t>Accès au réseau et flexibilité</w:t>
            </w:r>
          </w:p>
        </w:tc>
        <w:tc>
          <w:tcPr>
            <w:tcW w:w="10473" w:type="dxa"/>
            <w:vAlign w:val="center"/>
          </w:tcPr>
          <w:p w:rsidR="003C3919" w:rsidRPr="008779CD" w:rsidRDefault="003C3919" w:rsidP="00B346EE">
            <w:pPr>
              <w:cnfStyle w:val="000000000000"/>
              <w:rPr>
                <w:rFonts w:ascii="Century Gothic" w:hAnsi="Century Gothic"/>
              </w:rPr>
            </w:pPr>
            <w:r w:rsidRPr="008779CD">
              <w:rPr>
                <w:rFonts w:ascii="Century Gothic" w:hAnsi="Century Gothic"/>
              </w:rPr>
              <w:t>Les producteurs, fournisseurs et clients éligibles ont un droit d’accès au réseau sur la base de tarifs approuvés par le régulateur.</w:t>
            </w:r>
            <w:r w:rsidRPr="008779CD">
              <w:rPr>
                <w:rFonts w:ascii="Century Gothic" w:hAnsi="Century Gothic"/>
              </w:rPr>
              <w:br/>
              <w:t>En ce qui concerne le réseau électrique, le gestionnaire de réseau donne priorité à l’électricité verte. Au niveau du réseau de transport local ainsi qu’en moyenne et haute tension sur les réseaux de distribution, le contrat mentionne, pour l’électricité verte, la capacité permanente d’injection disponible ainsi que les accroissements de capacité jugés économiquement justifiés. En cas de limitation d’injection, le producteur d’électricité verte bénéficie, sous certaines conditions, d’une compensation pour les pertes de revenus dues aux limitations d’injection.</w:t>
            </w:r>
          </w:p>
        </w:tc>
        <w:tc>
          <w:tcPr>
            <w:tcW w:w="2126" w:type="dxa"/>
            <w:vAlign w:val="center"/>
          </w:tcPr>
          <w:p w:rsidR="00EF1D6C" w:rsidRDefault="003C3919" w:rsidP="00B346EE">
            <w:pPr>
              <w:cnfStyle w:val="000000000000"/>
              <w:rPr>
                <w:rFonts w:ascii="Century Gothic" w:hAnsi="Century Gothic"/>
              </w:rPr>
            </w:pPr>
            <w:r w:rsidRPr="008779CD">
              <w:rPr>
                <w:rFonts w:ascii="Century Gothic" w:hAnsi="Century Gothic"/>
              </w:rPr>
              <w:t>GR/</w:t>
            </w:r>
            <w:r w:rsidR="00EF1D6C">
              <w:rPr>
                <w:rFonts w:ascii="Century Gothic" w:hAnsi="Century Gothic"/>
              </w:rPr>
              <w:t xml:space="preserve"> </w:t>
            </w:r>
            <w:r w:rsidRPr="008779CD">
              <w:rPr>
                <w:rFonts w:ascii="Century Gothic" w:hAnsi="Century Gothic"/>
              </w:rPr>
              <w:t>producteurs/</w:t>
            </w:r>
          </w:p>
          <w:p w:rsidR="003C3919" w:rsidRPr="008779CD" w:rsidRDefault="003C3919" w:rsidP="00B346EE">
            <w:pPr>
              <w:cnfStyle w:val="000000000000"/>
              <w:rPr>
                <w:rFonts w:ascii="Century Gothic" w:hAnsi="Century Gothic"/>
              </w:rPr>
            </w:pPr>
            <w:r w:rsidRPr="008779CD">
              <w:rPr>
                <w:rFonts w:ascii="Century Gothic" w:hAnsi="Century Gothic"/>
              </w:rPr>
              <w:t>fournisseurs/</w:t>
            </w:r>
            <w:r w:rsidR="00EF1D6C">
              <w:rPr>
                <w:rFonts w:ascii="Century Gothic" w:hAnsi="Century Gothic"/>
              </w:rPr>
              <w:t xml:space="preserve"> </w:t>
            </w:r>
            <w:r w:rsidRPr="008779CD">
              <w:rPr>
                <w:rFonts w:ascii="Century Gothic" w:hAnsi="Century Gothic"/>
              </w:rPr>
              <w:t>clients</w:t>
            </w:r>
          </w:p>
        </w:tc>
      </w:tr>
    </w:tbl>
    <w:p w:rsidR="00733DF1" w:rsidRDefault="00733DF1"/>
    <w:p w:rsidR="00D104CF" w:rsidRDefault="00D104CF">
      <w:r>
        <w:br w:type="page"/>
      </w:r>
    </w:p>
    <w:p w:rsidR="00EA2A5A" w:rsidRDefault="00EA2A5A" w:rsidP="00EA2A5A">
      <w:pPr>
        <w:rPr>
          <w:rFonts w:ascii="Century Gothic" w:hAnsi="Century Gothic"/>
          <w:b/>
          <w:color w:val="1F497D" w:themeColor="text2"/>
        </w:rPr>
      </w:pPr>
    </w:p>
    <w:tbl>
      <w:tblPr>
        <w:tblStyle w:val="Listeclaire-Accent1"/>
        <w:tblW w:w="15134" w:type="dxa"/>
        <w:tblLayout w:type="fixed"/>
        <w:tblLook w:val="04A0"/>
      </w:tblPr>
      <w:tblGrid>
        <w:gridCol w:w="2802"/>
        <w:gridCol w:w="10064"/>
        <w:gridCol w:w="2268"/>
      </w:tblGrid>
      <w:tr w:rsidR="005E172E" w:rsidTr="00B346EE">
        <w:trPr>
          <w:cnfStyle w:val="100000000000"/>
        </w:trPr>
        <w:tc>
          <w:tcPr>
            <w:cnfStyle w:val="001000000000"/>
            <w:tcW w:w="15134" w:type="dxa"/>
            <w:gridSpan w:val="3"/>
          </w:tcPr>
          <w:p w:rsidR="005E172E" w:rsidRDefault="005E172E" w:rsidP="005E172E">
            <w:pPr>
              <w:rPr>
                <w:rFonts w:ascii="Century Gothic" w:hAnsi="Century Gothic"/>
                <w:sz w:val="24"/>
                <w:szCs w:val="24"/>
              </w:rPr>
            </w:pPr>
            <w:r w:rsidRPr="008769F8">
              <w:rPr>
                <w:rFonts w:ascii="Century Gothic" w:hAnsi="Century Gothic"/>
                <w:sz w:val="24"/>
                <w:szCs w:val="24"/>
              </w:rPr>
              <w:t xml:space="preserve">Dispositions applicables </w:t>
            </w:r>
            <w:r>
              <w:rPr>
                <w:rFonts w:ascii="Century Gothic" w:hAnsi="Century Gothic"/>
                <w:sz w:val="24"/>
                <w:szCs w:val="24"/>
              </w:rPr>
              <w:t>aux fournisseurs</w:t>
            </w:r>
          </w:p>
          <w:p w:rsidR="005E172E" w:rsidRPr="008779CD" w:rsidRDefault="005E172E" w:rsidP="005E172E">
            <w:pPr>
              <w:rPr>
                <w:rFonts w:ascii="Century Gothic" w:hAnsi="Century Gothic"/>
              </w:rPr>
            </w:pPr>
          </w:p>
        </w:tc>
      </w:tr>
      <w:tr w:rsidR="005E172E" w:rsidTr="00B346EE">
        <w:trPr>
          <w:cnfStyle w:val="000000100000"/>
        </w:trPr>
        <w:tc>
          <w:tcPr>
            <w:cnfStyle w:val="001000000000"/>
            <w:tcW w:w="2802" w:type="dxa"/>
            <w:shd w:val="clear" w:color="auto" w:fill="4F81BD" w:themeFill="accent1"/>
          </w:tcPr>
          <w:p w:rsidR="005E172E" w:rsidRPr="00733DF1" w:rsidRDefault="005E172E" w:rsidP="005E172E">
            <w:pPr>
              <w:rPr>
                <w:rFonts w:ascii="Century Gothic" w:hAnsi="Century Gothic"/>
                <w:color w:val="FFFFFF" w:themeColor="background1"/>
              </w:rPr>
            </w:pPr>
            <w:r w:rsidRPr="00733DF1">
              <w:rPr>
                <w:rFonts w:ascii="Century Gothic" w:hAnsi="Century Gothic"/>
                <w:color w:val="FFFFFF" w:themeColor="background1"/>
              </w:rPr>
              <w:t>Mesure</w:t>
            </w:r>
          </w:p>
        </w:tc>
        <w:tc>
          <w:tcPr>
            <w:tcW w:w="10064" w:type="dxa"/>
            <w:shd w:val="clear" w:color="auto" w:fill="4F81BD" w:themeFill="accent1"/>
          </w:tcPr>
          <w:p w:rsidR="005E172E" w:rsidRPr="00733DF1" w:rsidRDefault="005E172E" w:rsidP="00B346EE">
            <w:pPr>
              <w:cnfStyle w:val="000000100000"/>
              <w:rPr>
                <w:rFonts w:ascii="Century Gothic" w:hAnsi="Century Gothic"/>
                <w:b/>
                <w:color w:val="FFFFFF" w:themeColor="background1"/>
              </w:rPr>
            </w:pPr>
            <w:r w:rsidRPr="00733DF1">
              <w:rPr>
                <w:rFonts w:ascii="Century Gothic" w:hAnsi="Century Gothic"/>
                <w:b/>
                <w:color w:val="FFFFFF" w:themeColor="background1"/>
              </w:rPr>
              <w:t>Description</w:t>
            </w:r>
          </w:p>
        </w:tc>
        <w:tc>
          <w:tcPr>
            <w:tcW w:w="2268" w:type="dxa"/>
            <w:shd w:val="clear" w:color="auto" w:fill="4F81BD" w:themeFill="accent1"/>
          </w:tcPr>
          <w:p w:rsidR="005E172E" w:rsidRPr="00733DF1" w:rsidRDefault="005E172E" w:rsidP="005E172E">
            <w:pPr>
              <w:cnfStyle w:val="000000100000"/>
              <w:rPr>
                <w:rFonts w:ascii="Century Gothic" w:hAnsi="Century Gothic"/>
                <w:b/>
                <w:color w:val="FFFFFF" w:themeColor="background1"/>
              </w:rPr>
            </w:pPr>
            <w:r w:rsidRPr="00733DF1">
              <w:rPr>
                <w:rFonts w:ascii="Century Gothic" w:hAnsi="Century Gothic"/>
                <w:b/>
                <w:color w:val="FFFFFF" w:themeColor="background1"/>
              </w:rPr>
              <w:t>Public visé</w:t>
            </w:r>
          </w:p>
        </w:tc>
      </w:tr>
      <w:tr w:rsidR="005E172E" w:rsidTr="00B346EE">
        <w:tc>
          <w:tcPr>
            <w:cnfStyle w:val="001000000000"/>
            <w:tcW w:w="2802" w:type="dxa"/>
          </w:tcPr>
          <w:p w:rsidR="005E172E" w:rsidRPr="008779CD" w:rsidRDefault="005E172E" w:rsidP="005E172E">
            <w:pPr>
              <w:rPr>
                <w:rFonts w:ascii="Century Gothic" w:hAnsi="Century Gothic"/>
              </w:rPr>
            </w:pPr>
            <w:r w:rsidRPr="008779CD">
              <w:rPr>
                <w:rFonts w:ascii="Century Gothic" w:hAnsi="Century Gothic"/>
              </w:rPr>
              <w:t xml:space="preserve">Licence de fourniture </w:t>
            </w:r>
            <w:r w:rsidRPr="008779CD">
              <w:rPr>
                <w:rFonts w:ascii="Century Gothic" w:hAnsi="Century Gothic"/>
              </w:rPr>
              <w:br/>
            </w:r>
          </w:p>
        </w:tc>
        <w:tc>
          <w:tcPr>
            <w:tcW w:w="10064" w:type="dxa"/>
          </w:tcPr>
          <w:p w:rsidR="005E172E" w:rsidRPr="008779CD" w:rsidRDefault="005E172E" w:rsidP="005E172E">
            <w:pPr>
              <w:cnfStyle w:val="000000000000"/>
              <w:rPr>
                <w:rFonts w:ascii="Century Gothic" w:hAnsi="Century Gothic"/>
              </w:rPr>
            </w:pPr>
            <w:r w:rsidRPr="008779CD">
              <w:rPr>
                <w:rFonts w:ascii="Century Gothic" w:hAnsi="Century Gothic"/>
              </w:rPr>
              <w:t>Les fournisseurs doivent disposer d’une licence de fourniture  (générale ou limitée). Les formalités sont simplifiées pour les licences limitées et pour les fournisseurs bénéficiant d’une licence de fourniture accordée au niveau fédéral, dans les autres régions ou dans un autre Etat membre de l’Espace économique européen.</w:t>
            </w:r>
          </w:p>
        </w:tc>
        <w:tc>
          <w:tcPr>
            <w:tcW w:w="2268" w:type="dxa"/>
          </w:tcPr>
          <w:p w:rsidR="005E172E" w:rsidRPr="008779CD" w:rsidRDefault="005E172E" w:rsidP="00B346EE">
            <w:pPr>
              <w:ind w:firstLine="34"/>
              <w:cnfStyle w:val="000000000000"/>
              <w:rPr>
                <w:rFonts w:ascii="Century Gothic" w:hAnsi="Century Gothic"/>
              </w:rPr>
            </w:pPr>
            <w:r w:rsidRPr="008779CD">
              <w:rPr>
                <w:rFonts w:ascii="Century Gothic" w:hAnsi="Century Gothic"/>
              </w:rPr>
              <w:t>Fournisseurs</w:t>
            </w:r>
          </w:p>
        </w:tc>
      </w:tr>
      <w:tr w:rsidR="005E172E" w:rsidTr="00B346EE">
        <w:trPr>
          <w:cnfStyle w:val="000000100000"/>
        </w:trPr>
        <w:tc>
          <w:tcPr>
            <w:cnfStyle w:val="001000000000"/>
            <w:tcW w:w="2802" w:type="dxa"/>
          </w:tcPr>
          <w:p w:rsidR="005E172E" w:rsidRPr="008779CD" w:rsidRDefault="005E172E" w:rsidP="005E172E">
            <w:pPr>
              <w:rPr>
                <w:rFonts w:ascii="Century Gothic" w:hAnsi="Century Gothic"/>
              </w:rPr>
            </w:pPr>
            <w:r w:rsidRPr="008779CD">
              <w:rPr>
                <w:rFonts w:ascii="Century Gothic" w:hAnsi="Century Gothic"/>
              </w:rPr>
              <w:t xml:space="preserve">Libre choix du fournisseur </w:t>
            </w:r>
            <w:r w:rsidRPr="008779CD">
              <w:rPr>
                <w:rFonts w:ascii="Century Gothic" w:hAnsi="Century Gothic"/>
              </w:rPr>
              <w:br/>
            </w:r>
          </w:p>
        </w:tc>
        <w:tc>
          <w:tcPr>
            <w:tcW w:w="10064" w:type="dxa"/>
          </w:tcPr>
          <w:p w:rsidR="005E172E" w:rsidRPr="008779CD" w:rsidRDefault="005E172E" w:rsidP="005E172E">
            <w:pPr>
              <w:cnfStyle w:val="000000100000"/>
              <w:rPr>
                <w:rFonts w:ascii="Century Gothic" w:hAnsi="Century Gothic"/>
              </w:rPr>
            </w:pPr>
            <w:r w:rsidRPr="008779CD">
              <w:rPr>
                <w:rFonts w:ascii="Century Gothic" w:hAnsi="Century Gothic"/>
              </w:rPr>
              <w:t>Tout client final est libre de choisir son fournisseur, celui-ci doit disposer d’une licence de fourniture.</w:t>
            </w:r>
          </w:p>
        </w:tc>
        <w:tc>
          <w:tcPr>
            <w:tcW w:w="2268" w:type="dxa"/>
          </w:tcPr>
          <w:p w:rsidR="005E172E" w:rsidRPr="008779CD" w:rsidRDefault="005E172E" w:rsidP="005E172E">
            <w:pPr>
              <w:cnfStyle w:val="000000100000"/>
              <w:rPr>
                <w:rFonts w:ascii="Century Gothic" w:hAnsi="Century Gothic"/>
              </w:rPr>
            </w:pPr>
            <w:r w:rsidRPr="008779CD">
              <w:rPr>
                <w:rFonts w:ascii="Century Gothic" w:hAnsi="Century Gothic"/>
              </w:rPr>
              <w:t xml:space="preserve">Clients </w:t>
            </w:r>
          </w:p>
        </w:tc>
      </w:tr>
      <w:tr w:rsidR="005E172E" w:rsidTr="00B346EE">
        <w:tc>
          <w:tcPr>
            <w:cnfStyle w:val="001000000000"/>
            <w:tcW w:w="2802" w:type="dxa"/>
          </w:tcPr>
          <w:p w:rsidR="005E172E" w:rsidRPr="008779CD" w:rsidRDefault="005E172E" w:rsidP="005E172E">
            <w:pPr>
              <w:rPr>
                <w:rFonts w:ascii="Century Gothic" w:hAnsi="Century Gothic"/>
              </w:rPr>
            </w:pPr>
            <w:r w:rsidRPr="008779CD">
              <w:rPr>
                <w:rFonts w:ascii="Century Gothic" w:hAnsi="Century Gothic"/>
              </w:rPr>
              <w:t xml:space="preserve">Indemnisations dues par le fournisseur </w:t>
            </w:r>
            <w:r w:rsidRPr="008779CD">
              <w:rPr>
                <w:rFonts w:ascii="Century Gothic" w:hAnsi="Century Gothic"/>
              </w:rPr>
              <w:br/>
            </w:r>
          </w:p>
        </w:tc>
        <w:tc>
          <w:tcPr>
            <w:tcW w:w="10064" w:type="dxa"/>
          </w:tcPr>
          <w:p w:rsidR="005E172E" w:rsidRPr="008779CD" w:rsidRDefault="005E172E" w:rsidP="005E172E">
            <w:pPr>
              <w:cnfStyle w:val="000000000000"/>
              <w:rPr>
                <w:rFonts w:ascii="Century Gothic" w:hAnsi="Century Gothic"/>
              </w:rPr>
            </w:pPr>
            <w:r w:rsidRPr="008779CD">
              <w:rPr>
                <w:rFonts w:ascii="Century Gothic" w:hAnsi="Century Gothic"/>
              </w:rPr>
              <w:t>Le fournisseur doit indemniser son client en cas de coupure d’électricité/de gaz réalisée en violation des dispositions des décrets ou de leurs arrêtés d’exécution ainsi que suite à une erreur de facturation ou d’entrée en vigueur du contrat. Le client final a également droit à un dédommagement en cas d’erreur de facturation.</w:t>
            </w:r>
          </w:p>
        </w:tc>
        <w:tc>
          <w:tcPr>
            <w:tcW w:w="2268" w:type="dxa"/>
          </w:tcPr>
          <w:p w:rsidR="005E172E" w:rsidRPr="008779CD" w:rsidRDefault="00EF1D6C" w:rsidP="005E172E">
            <w:pPr>
              <w:cnfStyle w:val="000000000000"/>
              <w:rPr>
                <w:rFonts w:ascii="Century Gothic" w:hAnsi="Century Gothic"/>
              </w:rPr>
            </w:pPr>
            <w:r>
              <w:rPr>
                <w:rFonts w:ascii="Century Gothic" w:hAnsi="Century Gothic"/>
              </w:rPr>
              <w:t>Clients</w:t>
            </w:r>
          </w:p>
        </w:tc>
      </w:tr>
    </w:tbl>
    <w:p w:rsidR="005E172E" w:rsidRDefault="005E172E" w:rsidP="00EA2A5A">
      <w:pPr>
        <w:rPr>
          <w:rFonts w:ascii="Century Gothic" w:hAnsi="Century Gothic"/>
          <w:b/>
          <w:color w:val="1F497D" w:themeColor="text2"/>
        </w:rPr>
      </w:pPr>
    </w:p>
    <w:p w:rsidR="005E172E" w:rsidRDefault="005E172E" w:rsidP="00EA2A5A">
      <w:pPr>
        <w:rPr>
          <w:rFonts w:ascii="Century Gothic" w:hAnsi="Century Gothic"/>
          <w:b/>
          <w:color w:val="1F497D" w:themeColor="text2"/>
        </w:rPr>
      </w:pPr>
    </w:p>
    <w:tbl>
      <w:tblPr>
        <w:tblStyle w:val="Listeclaire-Accent1"/>
        <w:tblW w:w="15134" w:type="dxa"/>
        <w:tblLayout w:type="fixed"/>
        <w:tblLook w:val="04A0"/>
      </w:tblPr>
      <w:tblGrid>
        <w:gridCol w:w="2802"/>
        <w:gridCol w:w="10064"/>
        <w:gridCol w:w="2268"/>
      </w:tblGrid>
      <w:tr w:rsidR="003C3919" w:rsidRPr="008779CD" w:rsidTr="00D104CF">
        <w:trPr>
          <w:cnfStyle w:val="100000000000"/>
          <w:tblHeader/>
        </w:trPr>
        <w:tc>
          <w:tcPr>
            <w:cnfStyle w:val="001000000000"/>
            <w:tcW w:w="15134" w:type="dxa"/>
            <w:gridSpan w:val="3"/>
          </w:tcPr>
          <w:p w:rsidR="003C3919" w:rsidRDefault="003C3919" w:rsidP="002A13DA">
            <w:pPr>
              <w:rPr>
                <w:rFonts w:ascii="Century Gothic" w:hAnsi="Century Gothic"/>
                <w:sz w:val="24"/>
                <w:szCs w:val="24"/>
              </w:rPr>
            </w:pPr>
            <w:r w:rsidRPr="008769F8">
              <w:rPr>
                <w:rFonts w:ascii="Century Gothic" w:hAnsi="Century Gothic"/>
                <w:sz w:val="24"/>
                <w:szCs w:val="24"/>
              </w:rPr>
              <w:t xml:space="preserve">Dispositions applicables </w:t>
            </w:r>
            <w:r>
              <w:rPr>
                <w:rFonts w:ascii="Century Gothic" w:hAnsi="Century Gothic"/>
                <w:sz w:val="24"/>
                <w:szCs w:val="24"/>
              </w:rPr>
              <w:t>à la protection des clients, des utilisateurs de réseau et aux obligations de service public</w:t>
            </w:r>
          </w:p>
          <w:p w:rsidR="003C3919" w:rsidRPr="008779CD" w:rsidRDefault="003C3919" w:rsidP="002A13DA">
            <w:pPr>
              <w:rPr>
                <w:rFonts w:ascii="Century Gothic" w:hAnsi="Century Gothic"/>
              </w:rPr>
            </w:pPr>
          </w:p>
        </w:tc>
      </w:tr>
      <w:tr w:rsidR="003C3919" w:rsidRPr="00733DF1" w:rsidTr="00D104CF">
        <w:trPr>
          <w:cnfStyle w:val="100000000000"/>
          <w:tblHeader/>
        </w:trPr>
        <w:tc>
          <w:tcPr>
            <w:cnfStyle w:val="001000000000"/>
            <w:tcW w:w="2802" w:type="dxa"/>
          </w:tcPr>
          <w:p w:rsidR="003C3919" w:rsidRPr="00733DF1" w:rsidRDefault="003C3919" w:rsidP="002A13DA">
            <w:pPr>
              <w:rPr>
                <w:rFonts w:ascii="Century Gothic" w:hAnsi="Century Gothic"/>
              </w:rPr>
            </w:pPr>
            <w:r w:rsidRPr="00733DF1">
              <w:rPr>
                <w:rFonts w:ascii="Century Gothic" w:hAnsi="Century Gothic"/>
              </w:rPr>
              <w:t>Mesure</w:t>
            </w:r>
          </w:p>
        </w:tc>
        <w:tc>
          <w:tcPr>
            <w:tcW w:w="10064" w:type="dxa"/>
            <w:vAlign w:val="center"/>
          </w:tcPr>
          <w:p w:rsidR="003C3919" w:rsidRPr="00C55B85" w:rsidRDefault="003C3919" w:rsidP="00C55B85">
            <w:pPr>
              <w:cnfStyle w:val="100000000000"/>
              <w:rPr>
                <w:rFonts w:ascii="Century Gothic" w:hAnsi="Century Gothic"/>
              </w:rPr>
            </w:pPr>
            <w:r w:rsidRPr="00C55B85">
              <w:rPr>
                <w:rFonts w:ascii="Century Gothic" w:hAnsi="Century Gothic"/>
              </w:rPr>
              <w:t>Description</w:t>
            </w:r>
          </w:p>
        </w:tc>
        <w:tc>
          <w:tcPr>
            <w:tcW w:w="2268" w:type="dxa"/>
            <w:vAlign w:val="center"/>
          </w:tcPr>
          <w:p w:rsidR="003C3919" w:rsidRPr="00C55B85" w:rsidRDefault="003C3919" w:rsidP="00D104CF">
            <w:pPr>
              <w:cnfStyle w:val="100000000000"/>
              <w:rPr>
                <w:rFonts w:ascii="Century Gothic" w:hAnsi="Century Gothic"/>
              </w:rPr>
            </w:pPr>
            <w:r w:rsidRPr="00C55B85">
              <w:rPr>
                <w:rFonts w:ascii="Century Gothic" w:hAnsi="Century Gothic"/>
              </w:rPr>
              <w:t>Public visé</w:t>
            </w:r>
          </w:p>
        </w:tc>
      </w:tr>
      <w:tr w:rsidR="003C3919" w:rsidRPr="008779CD" w:rsidTr="00D104CF">
        <w:trPr>
          <w:cnfStyle w:val="000000100000"/>
        </w:trPr>
        <w:tc>
          <w:tcPr>
            <w:cnfStyle w:val="001000000000"/>
            <w:tcW w:w="2802" w:type="dxa"/>
          </w:tcPr>
          <w:p w:rsidR="003C3919" w:rsidRPr="008779CD" w:rsidRDefault="003C3919" w:rsidP="003C3919">
            <w:pPr>
              <w:rPr>
                <w:rFonts w:ascii="Century Gothic" w:hAnsi="Century Gothic"/>
              </w:rPr>
            </w:pPr>
            <w:r w:rsidRPr="008779CD">
              <w:rPr>
                <w:rFonts w:ascii="Century Gothic" w:hAnsi="Century Gothic"/>
              </w:rPr>
              <w:t>Indemnisations</w:t>
            </w:r>
          </w:p>
          <w:p w:rsidR="003C3919" w:rsidRPr="008779CD" w:rsidRDefault="003C3919" w:rsidP="003C3919">
            <w:pPr>
              <w:rPr>
                <w:rFonts w:ascii="Century Gothic" w:hAnsi="Century Gothic"/>
              </w:rPr>
            </w:pPr>
          </w:p>
        </w:tc>
        <w:tc>
          <w:tcPr>
            <w:tcW w:w="10064" w:type="dxa"/>
          </w:tcPr>
          <w:p w:rsidR="003C3919" w:rsidRPr="008779CD" w:rsidRDefault="003C3919" w:rsidP="003C3919">
            <w:pPr>
              <w:cnfStyle w:val="000000100000"/>
              <w:rPr>
                <w:rFonts w:ascii="Century Gothic" w:hAnsi="Century Gothic"/>
              </w:rPr>
            </w:pPr>
            <w:r w:rsidRPr="008779CD">
              <w:rPr>
                <w:rFonts w:ascii="Century Gothic" w:hAnsi="Century Gothic"/>
              </w:rPr>
              <w:t>Des obligations d’indemnisations sont imposées aux GR en cas d’interruption prolongée de fourniture, de retard de raccordement et de dommages causés par l’interruption, la non-conformité ou l’irrégularité de la fourniture.</w:t>
            </w:r>
          </w:p>
        </w:tc>
        <w:tc>
          <w:tcPr>
            <w:tcW w:w="2268" w:type="dxa"/>
          </w:tcPr>
          <w:p w:rsidR="003C3919" w:rsidRPr="008779CD" w:rsidRDefault="003C3919" w:rsidP="003C3919">
            <w:pPr>
              <w:cnfStyle w:val="000000100000"/>
              <w:rPr>
                <w:rFonts w:ascii="Century Gothic" w:hAnsi="Century Gothic"/>
              </w:rPr>
            </w:pPr>
            <w:r w:rsidRPr="008779CD">
              <w:rPr>
                <w:rFonts w:ascii="Century Gothic" w:hAnsi="Century Gothic"/>
              </w:rPr>
              <w:t>GR/clients/</w:t>
            </w:r>
            <w:r>
              <w:rPr>
                <w:rFonts w:ascii="Century Gothic" w:hAnsi="Century Gothic"/>
              </w:rPr>
              <w:t xml:space="preserve"> </w:t>
            </w:r>
            <w:r w:rsidRPr="008779CD">
              <w:rPr>
                <w:rFonts w:ascii="Century Gothic" w:hAnsi="Century Gothic"/>
              </w:rPr>
              <w:t>producteurs</w:t>
            </w:r>
          </w:p>
        </w:tc>
      </w:tr>
      <w:tr w:rsidR="003C3919" w:rsidRPr="008779CD" w:rsidTr="00D104CF">
        <w:tc>
          <w:tcPr>
            <w:cnfStyle w:val="001000000000"/>
            <w:tcW w:w="2802" w:type="dxa"/>
          </w:tcPr>
          <w:p w:rsidR="003C3919" w:rsidRPr="008779CD" w:rsidRDefault="003C3919" w:rsidP="003C3919">
            <w:pPr>
              <w:rPr>
                <w:rFonts w:ascii="Century Gothic" w:hAnsi="Century Gothic"/>
              </w:rPr>
            </w:pPr>
            <w:r w:rsidRPr="008779CD">
              <w:rPr>
                <w:rFonts w:ascii="Century Gothic" w:hAnsi="Century Gothic"/>
              </w:rPr>
              <w:t xml:space="preserve">Protection des  clients </w:t>
            </w:r>
            <w:r w:rsidRPr="008779CD">
              <w:rPr>
                <w:rFonts w:ascii="Century Gothic" w:hAnsi="Century Gothic"/>
              </w:rPr>
              <w:br/>
            </w:r>
          </w:p>
        </w:tc>
        <w:tc>
          <w:tcPr>
            <w:tcW w:w="10064" w:type="dxa"/>
          </w:tcPr>
          <w:p w:rsidR="003C3919" w:rsidRPr="008779CD" w:rsidRDefault="003C3919" w:rsidP="003C3919">
            <w:pPr>
              <w:jc w:val="both"/>
              <w:cnfStyle w:val="000000000000"/>
              <w:rPr>
                <w:rFonts w:ascii="Century Gothic" w:hAnsi="Century Gothic" w:cs="Tahoma"/>
                <w:bCs/>
                <w:iCs/>
                <w:color w:val="000000"/>
              </w:rPr>
            </w:pPr>
            <w:r w:rsidRPr="008779CD">
              <w:rPr>
                <w:rFonts w:ascii="Century Gothic" w:hAnsi="Century Gothic" w:cs="Tahoma"/>
                <w:bCs/>
                <w:iCs/>
                <w:color w:val="000000"/>
              </w:rPr>
              <w:t>Ces dispositions visent à renforcer le droit des consommateurs wallons et à améliorer l’accès à l’énergie pour tous :</w:t>
            </w:r>
          </w:p>
          <w:p w:rsidR="003C3919" w:rsidRPr="008779CD" w:rsidRDefault="003C3919" w:rsidP="003C3919">
            <w:pPr>
              <w:pStyle w:val="Paragraphedeliste"/>
              <w:numPr>
                <w:ilvl w:val="0"/>
                <w:numId w:val="4"/>
              </w:numPr>
              <w:ind w:left="197" w:hanging="142"/>
              <w:jc w:val="both"/>
              <w:cnfStyle w:val="000000000000"/>
              <w:rPr>
                <w:rFonts w:ascii="Century Gothic" w:hAnsi="Century Gothic" w:cs="Tahoma"/>
                <w:bCs/>
                <w:iCs/>
                <w:color w:val="000000"/>
                <w:lang w:val="fr-BE"/>
              </w:rPr>
            </w:pPr>
            <w:r w:rsidRPr="008779CD">
              <w:rPr>
                <w:rFonts w:ascii="Century Gothic" w:hAnsi="Century Gothic" w:cs="Tahoma"/>
                <w:bCs/>
                <w:iCs/>
                <w:color w:val="000000"/>
                <w:lang w:val="fr-BE"/>
              </w:rPr>
              <w:t>Définition des catégories de clients protégés bénéficiant de droits spécifiques</w:t>
            </w:r>
          </w:p>
          <w:p w:rsidR="003C3919" w:rsidRPr="008779CD" w:rsidRDefault="003C3919" w:rsidP="003C3919">
            <w:pPr>
              <w:pStyle w:val="Paragraphedeliste"/>
              <w:numPr>
                <w:ilvl w:val="0"/>
                <w:numId w:val="4"/>
              </w:numPr>
              <w:ind w:left="197" w:hanging="142"/>
              <w:jc w:val="both"/>
              <w:cnfStyle w:val="000000000000"/>
              <w:rPr>
                <w:rFonts w:ascii="Century Gothic" w:hAnsi="Century Gothic" w:cs="Tahoma"/>
                <w:bCs/>
                <w:iCs/>
                <w:color w:val="000000"/>
                <w:lang w:val="fr-BE"/>
              </w:rPr>
            </w:pPr>
            <w:r w:rsidRPr="008779CD">
              <w:rPr>
                <w:rFonts w:ascii="Century Gothic" w:hAnsi="Century Gothic" w:cs="Tahoma"/>
                <w:bCs/>
                <w:iCs/>
                <w:color w:val="000000"/>
                <w:lang w:val="fr-BE"/>
              </w:rPr>
              <w:t>Fourniture des clients protégés au tarif social</w:t>
            </w:r>
          </w:p>
          <w:p w:rsidR="003C3919" w:rsidRPr="008779CD" w:rsidRDefault="003C3919" w:rsidP="003C3919">
            <w:pPr>
              <w:pStyle w:val="Paragraphedeliste"/>
              <w:numPr>
                <w:ilvl w:val="0"/>
                <w:numId w:val="4"/>
              </w:numPr>
              <w:ind w:left="197" w:hanging="142"/>
              <w:jc w:val="both"/>
              <w:cnfStyle w:val="000000000000"/>
              <w:rPr>
                <w:rFonts w:ascii="Century Gothic" w:hAnsi="Century Gothic" w:cs="Tahoma"/>
                <w:bCs/>
                <w:iCs/>
                <w:color w:val="000000"/>
                <w:lang w:val="fr-BE"/>
              </w:rPr>
            </w:pPr>
            <w:r w:rsidRPr="008779CD">
              <w:rPr>
                <w:rFonts w:ascii="Century Gothic" w:hAnsi="Century Gothic" w:cs="Tahoma"/>
                <w:bCs/>
                <w:iCs/>
                <w:color w:val="000000"/>
                <w:lang w:val="fr-BE"/>
              </w:rPr>
              <w:t>Proposition d’un plan de paiement raisonnable en cas de non paiement</w:t>
            </w:r>
          </w:p>
          <w:p w:rsidR="003C3919" w:rsidRPr="008779CD" w:rsidRDefault="003C3919" w:rsidP="003C3919">
            <w:pPr>
              <w:pStyle w:val="Paragraphedeliste"/>
              <w:numPr>
                <w:ilvl w:val="0"/>
                <w:numId w:val="4"/>
              </w:numPr>
              <w:ind w:left="197" w:hanging="142"/>
              <w:jc w:val="both"/>
              <w:cnfStyle w:val="000000000000"/>
              <w:rPr>
                <w:rFonts w:ascii="Century Gothic" w:hAnsi="Century Gothic" w:cs="Tahoma"/>
                <w:bCs/>
                <w:iCs/>
                <w:color w:val="000000"/>
                <w:lang w:val="fr-BE"/>
              </w:rPr>
            </w:pPr>
            <w:r w:rsidRPr="008779CD">
              <w:rPr>
                <w:rFonts w:ascii="Century Gothic" w:hAnsi="Century Gothic" w:cs="Tahoma"/>
                <w:bCs/>
                <w:iCs/>
                <w:color w:val="000000"/>
                <w:lang w:val="fr-BE"/>
              </w:rPr>
              <w:t>Placement éventuel d’un compteur à budget</w:t>
            </w:r>
          </w:p>
          <w:p w:rsidR="003C3919" w:rsidRPr="008779CD" w:rsidRDefault="003C3919" w:rsidP="003C3919">
            <w:pPr>
              <w:pStyle w:val="Paragraphedeliste"/>
              <w:numPr>
                <w:ilvl w:val="0"/>
                <w:numId w:val="4"/>
              </w:numPr>
              <w:ind w:left="197" w:hanging="142"/>
              <w:jc w:val="both"/>
              <w:cnfStyle w:val="000000000000"/>
              <w:rPr>
                <w:rFonts w:ascii="Century Gothic" w:hAnsi="Century Gothic" w:cs="Tahoma"/>
                <w:bCs/>
                <w:iCs/>
                <w:color w:val="000000"/>
                <w:lang w:val="fr-BE"/>
              </w:rPr>
            </w:pPr>
            <w:r w:rsidRPr="008779CD">
              <w:rPr>
                <w:rFonts w:ascii="Century Gothic" w:hAnsi="Century Gothic" w:cs="Tahoma"/>
                <w:bCs/>
                <w:iCs/>
                <w:color w:val="000000"/>
                <w:lang w:val="fr-BE"/>
              </w:rPr>
              <w:t>Fourniture minimale garantie sous limiteur de puissance accordée aux clients protégés</w:t>
            </w:r>
          </w:p>
          <w:p w:rsidR="003C3919" w:rsidRPr="008779CD" w:rsidRDefault="003C3919" w:rsidP="003C3919">
            <w:pPr>
              <w:pStyle w:val="Paragraphedeliste"/>
              <w:numPr>
                <w:ilvl w:val="0"/>
                <w:numId w:val="4"/>
              </w:numPr>
              <w:ind w:left="197" w:hanging="142"/>
              <w:jc w:val="both"/>
              <w:cnfStyle w:val="000000000000"/>
              <w:rPr>
                <w:rFonts w:ascii="Century Gothic" w:hAnsi="Century Gothic" w:cs="Tahoma"/>
                <w:bCs/>
                <w:iCs/>
                <w:color w:val="000000"/>
                <w:lang w:val="fr-BE"/>
              </w:rPr>
            </w:pPr>
            <w:r w:rsidRPr="008779CD">
              <w:rPr>
                <w:rFonts w:ascii="Century Gothic" w:hAnsi="Century Gothic" w:cs="Tahoma"/>
                <w:bCs/>
                <w:iCs/>
                <w:color w:val="000000"/>
                <w:lang w:val="fr-BE"/>
              </w:rPr>
              <w:lastRenderedPageBreak/>
              <w:t>En période hivernale, non coupure de la fourniture minimale garantie en électricité et octroi de l’aide hivernale en gaz</w:t>
            </w:r>
          </w:p>
          <w:p w:rsidR="003C3919" w:rsidRPr="008779CD" w:rsidRDefault="003C3919" w:rsidP="003C3919">
            <w:pPr>
              <w:pStyle w:val="Paragraphedeliste"/>
              <w:numPr>
                <w:ilvl w:val="0"/>
                <w:numId w:val="4"/>
              </w:numPr>
              <w:ind w:left="197" w:hanging="142"/>
              <w:jc w:val="both"/>
              <w:cnfStyle w:val="000000000000"/>
              <w:rPr>
                <w:rFonts w:ascii="Century Gothic" w:hAnsi="Century Gothic" w:cs="Tahoma"/>
                <w:bCs/>
                <w:iCs/>
                <w:color w:val="000000"/>
                <w:lang w:val="fr-BE"/>
              </w:rPr>
            </w:pPr>
            <w:r w:rsidRPr="008779CD">
              <w:rPr>
                <w:rFonts w:ascii="Century Gothic" w:hAnsi="Century Gothic" w:cs="Tahoma"/>
                <w:bCs/>
                <w:iCs/>
                <w:color w:val="000000"/>
                <w:lang w:val="fr-BE"/>
              </w:rPr>
              <w:t>Intervention des commissions locales pour l’énergie dans certaines situations</w:t>
            </w:r>
          </w:p>
          <w:p w:rsidR="003C3919" w:rsidRPr="008779CD" w:rsidRDefault="003C3919" w:rsidP="003C3919">
            <w:pPr>
              <w:pStyle w:val="Paragraphedeliste"/>
              <w:numPr>
                <w:ilvl w:val="0"/>
                <w:numId w:val="4"/>
              </w:numPr>
              <w:ind w:left="197" w:hanging="142"/>
              <w:jc w:val="both"/>
              <w:cnfStyle w:val="000000000000"/>
              <w:rPr>
                <w:rFonts w:ascii="Century Gothic" w:hAnsi="Century Gothic" w:cs="Tahoma"/>
                <w:bCs/>
                <w:iCs/>
                <w:color w:val="000000"/>
                <w:lang w:val="fr-BE"/>
              </w:rPr>
            </w:pPr>
            <w:r w:rsidRPr="008779CD">
              <w:rPr>
                <w:rFonts w:ascii="Century Gothic" w:hAnsi="Century Gothic" w:cs="Tahoma"/>
                <w:bCs/>
                <w:iCs/>
                <w:color w:val="000000"/>
                <w:lang w:val="fr-BE"/>
              </w:rPr>
              <w:t>Guidance sociale énergétique</w:t>
            </w:r>
          </w:p>
          <w:p w:rsidR="003C3919" w:rsidRPr="000C4E04" w:rsidRDefault="003C3919" w:rsidP="003C3919">
            <w:pPr>
              <w:pStyle w:val="Paragraphedeliste"/>
              <w:numPr>
                <w:ilvl w:val="0"/>
                <w:numId w:val="4"/>
              </w:numPr>
              <w:ind w:left="197" w:hanging="142"/>
              <w:jc w:val="both"/>
              <w:cnfStyle w:val="000000000000"/>
              <w:rPr>
                <w:rFonts w:ascii="Century Gothic" w:hAnsi="Century Gothic"/>
                <w:lang w:val="fr-BE"/>
              </w:rPr>
            </w:pPr>
            <w:r w:rsidRPr="008779CD">
              <w:rPr>
                <w:rFonts w:ascii="Century Gothic" w:hAnsi="Century Gothic" w:cs="Tahoma"/>
                <w:bCs/>
                <w:iCs/>
                <w:color w:val="000000"/>
                <w:lang w:val="fr-BE"/>
              </w:rPr>
              <w:t>Plans d’action préventive pour l’énergie</w:t>
            </w:r>
          </w:p>
          <w:p w:rsidR="000C4E04" w:rsidRPr="008779CD" w:rsidRDefault="000C4E04" w:rsidP="003C3919">
            <w:pPr>
              <w:pStyle w:val="Paragraphedeliste"/>
              <w:numPr>
                <w:ilvl w:val="0"/>
                <w:numId w:val="4"/>
              </w:numPr>
              <w:ind w:left="197" w:hanging="142"/>
              <w:jc w:val="both"/>
              <w:cnfStyle w:val="000000000000"/>
              <w:rPr>
                <w:rFonts w:ascii="Century Gothic" w:hAnsi="Century Gothic"/>
                <w:lang w:val="fr-BE"/>
              </w:rPr>
            </w:pPr>
          </w:p>
        </w:tc>
        <w:tc>
          <w:tcPr>
            <w:tcW w:w="2268" w:type="dxa"/>
          </w:tcPr>
          <w:p w:rsidR="003C3919" w:rsidRPr="008779CD" w:rsidRDefault="003C3919" w:rsidP="003C3919">
            <w:pPr>
              <w:cnfStyle w:val="000000000000"/>
              <w:rPr>
                <w:rFonts w:ascii="Century Gothic" w:hAnsi="Century Gothic"/>
              </w:rPr>
            </w:pPr>
            <w:r w:rsidRPr="008779CD">
              <w:rPr>
                <w:rFonts w:ascii="Century Gothic" w:hAnsi="Century Gothic"/>
              </w:rPr>
              <w:lastRenderedPageBreak/>
              <w:t>Clients</w:t>
            </w:r>
          </w:p>
        </w:tc>
      </w:tr>
      <w:tr w:rsidR="003C3919" w:rsidRPr="008779CD" w:rsidTr="00D104CF">
        <w:trPr>
          <w:cnfStyle w:val="000000100000"/>
        </w:trPr>
        <w:tc>
          <w:tcPr>
            <w:cnfStyle w:val="001000000000"/>
            <w:tcW w:w="2802" w:type="dxa"/>
          </w:tcPr>
          <w:p w:rsidR="003C3919" w:rsidRPr="008779CD" w:rsidRDefault="003C3919" w:rsidP="003C3919">
            <w:pPr>
              <w:rPr>
                <w:rFonts w:ascii="Century Gothic" w:hAnsi="Century Gothic"/>
              </w:rPr>
            </w:pPr>
            <w:r w:rsidRPr="008779CD">
              <w:rPr>
                <w:rFonts w:ascii="Century Gothic" w:hAnsi="Century Gothic"/>
              </w:rPr>
              <w:lastRenderedPageBreak/>
              <w:t>Obligations de service public à charge des gestionnaires de réseaux</w:t>
            </w:r>
            <w:r w:rsidRPr="008779CD">
              <w:rPr>
                <w:rFonts w:ascii="Century Gothic" w:hAnsi="Century Gothic"/>
              </w:rPr>
              <w:br/>
            </w:r>
          </w:p>
        </w:tc>
        <w:tc>
          <w:tcPr>
            <w:tcW w:w="10064" w:type="dxa"/>
          </w:tcPr>
          <w:p w:rsidR="003C3919" w:rsidRPr="008779CD" w:rsidRDefault="003C3919" w:rsidP="003C3919">
            <w:pPr>
              <w:cnfStyle w:val="000000100000"/>
              <w:rPr>
                <w:rFonts w:ascii="Century Gothic" w:hAnsi="Century Gothic"/>
              </w:rPr>
            </w:pPr>
            <w:r w:rsidRPr="008779CD">
              <w:rPr>
                <w:rFonts w:ascii="Century Gothic" w:hAnsi="Century Gothic"/>
              </w:rPr>
              <w:t>Des obligations de services publiques sont imposées aux GRD afin notamment :</w:t>
            </w:r>
          </w:p>
          <w:p w:rsidR="003C3919" w:rsidRPr="008779CD" w:rsidRDefault="003C3919" w:rsidP="003C3919">
            <w:pPr>
              <w:pStyle w:val="Paragraphedeliste"/>
              <w:numPr>
                <w:ilvl w:val="0"/>
                <w:numId w:val="4"/>
              </w:numPr>
              <w:ind w:left="197" w:hanging="219"/>
              <w:cnfStyle w:val="000000100000"/>
              <w:rPr>
                <w:rFonts w:ascii="Century Gothic" w:hAnsi="Century Gothic"/>
                <w:lang w:val="fr-BE"/>
              </w:rPr>
            </w:pPr>
            <w:r w:rsidRPr="008779CD">
              <w:rPr>
                <w:rFonts w:ascii="Century Gothic" w:hAnsi="Century Gothic"/>
                <w:lang w:val="fr-BE"/>
              </w:rPr>
              <w:t>D’assurer la sécurité, régularité et qualité des fournitures</w:t>
            </w:r>
          </w:p>
          <w:p w:rsidR="003C3919" w:rsidRPr="008779CD" w:rsidRDefault="003C3919" w:rsidP="003C3919">
            <w:pPr>
              <w:pStyle w:val="Paragraphedeliste"/>
              <w:numPr>
                <w:ilvl w:val="0"/>
                <w:numId w:val="4"/>
              </w:numPr>
              <w:ind w:left="197" w:hanging="219"/>
              <w:cnfStyle w:val="000000100000"/>
              <w:rPr>
                <w:rFonts w:ascii="Century Gothic" w:hAnsi="Century Gothic"/>
                <w:lang w:val="fr-BE"/>
              </w:rPr>
            </w:pPr>
            <w:r w:rsidRPr="008779CD">
              <w:rPr>
                <w:rFonts w:ascii="Century Gothic" w:hAnsi="Century Gothic"/>
                <w:lang w:val="fr-BE"/>
              </w:rPr>
              <w:t>D’améliorer les services aux utilisateurs (raccordement, comptage, gestion des plaintes, information, ...)</w:t>
            </w:r>
          </w:p>
          <w:p w:rsidR="003C3919" w:rsidRPr="008779CD" w:rsidRDefault="003C3919" w:rsidP="003C3919">
            <w:pPr>
              <w:pStyle w:val="Paragraphedeliste"/>
              <w:numPr>
                <w:ilvl w:val="0"/>
                <w:numId w:val="4"/>
              </w:numPr>
              <w:ind w:left="197" w:hanging="219"/>
              <w:cnfStyle w:val="000000100000"/>
              <w:rPr>
                <w:rFonts w:ascii="Century Gothic" w:hAnsi="Century Gothic"/>
                <w:lang w:val="fr-BE"/>
              </w:rPr>
            </w:pPr>
            <w:r w:rsidRPr="008779CD">
              <w:rPr>
                <w:rFonts w:ascii="Century Gothic" w:hAnsi="Century Gothic"/>
                <w:lang w:val="fr-BE"/>
              </w:rPr>
              <w:t>Renforcer la protection sociale des clients protégés</w:t>
            </w:r>
          </w:p>
          <w:p w:rsidR="003C3919" w:rsidRPr="008779CD" w:rsidRDefault="003C3919" w:rsidP="003C3919">
            <w:pPr>
              <w:pStyle w:val="Paragraphedeliste"/>
              <w:numPr>
                <w:ilvl w:val="0"/>
                <w:numId w:val="4"/>
              </w:numPr>
              <w:ind w:left="197" w:hanging="219"/>
              <w:cnfStyle w:val="000000100000"/>
              <w:rPr>
                <w:rFonts w:ascii="Century Gothic" w:hAnsi="Century Gothic"/>
                <w:lang w:val="fr-BE"/>
              </w:rPr>
            </w:pPr>
            <w:r w:rsidRPr="008779CD">
              <w:rPr>
                <w:rFonts w:ascii="Century Gothic" w:hAnsi="Century Gothic"/>
                <w:lang w:val="fr-BE"/>
              </w:rPr>
              <w:t>Renforcer la protection de l’environnement (mesures de promotion de l’électricité verte/des gaz issus de renouvelables)</w:t>
            </w:r>
          </w:p>
          <w:p w:rsidR="003C3919" w:rsidRPr="008779CD" w:rsidRDefault="003C3919" w:rsidP="003C3919">
            <w:pPr>
              <w:pStyle w:val="Paragraphedeliste"/>
              <w:numPr>
                <w:ilvl w:val="0"/>
                <w:numId w:val="4"/>
              </w:numPr>
              <w:ind w:left="197" w:hanging="219"/>
              <w:cnfStyle w:val="000000100000"/>
              <w:rPr>
                <w:rFonts w:ascii="Century Gothic" w:hAnsi="Century Gothic"/>
                <w:lang w:val="fr-BE"/>
              </w:rPr>
            </w:pPr>
            <w:r w:rsidRPr="008779CD">
              <w:rPr>
                <w:rFonts w:ascii="Century Gothic" w:hAnsi="Century Gothic"/>
                <w:lang w:val="fr-BE"/>
              </w:rPr>
              <w:t>Favoriser l’utilisation rationnelle de l’énergie</w:t>
            </w:r>
          </w:p>
          <w:p w:rsidR="003C3919" w:rsidRPr="008779CD" w:rsidRDefault="003C3919" w:rsidP="003C3919">
            <w:pPr>
              <w:pStyle w:val="Paragraphedeliste"/>
              <w:numPr>
                <w:ilvl w:val="0"/>
                <w:numId w:val="4"/>
              </w:numPr>
              <w:ind w:left="197" w:hanging="219"/>
              <w:cnfStyle w:val="000000100000"/>
              <w:rPr>
                <w:rFonts w:ascii="Century Gothic" w:hAnsi="Century Gothic"/>
                <w:lang w:val="fr-BE"/>
              </w:rPr>
            </w:pPr>
            <w:r w:rsidRPr="008779CD">
              <w:rPr>
                <w:rFonts w:ascii="Century Gothic" w:hAnsi="Century Gothic"/>
                <w:lang w:val="fr-BE"/>
              </w:rPr>
              <w:t>Assurer l’entretien et l’amélioration des installations d’éclairage public.</w:t>
            </w:r>
          </w:p>
        </w:tc>
        <w:tc>
          <w:tcPr>
            <w:tcW w:w="2268" w:type="dxa"/>
          </w:tcPr>
          <w:p w:rsidR="00EF1D6C" w:rsidRDefault="003C3919" w:rsidP="003C3919">
            <w:pPr>
              <w:cnfStyle w:val="000000100000"/>
              <w:rPr>
                <w:rFonts w:ascii="Century Gothic" w:hAnsi="Century Gothic"/>
              </w:rPr>
            </w:pPr>
            <w:r w:rsidRPr="008779CD">
              <w:rPr>
                <w:rFonts w:ascii="Century Gothic" w:hAnsi="Century Gothic"/>
              </w:rPr>
              <w:t>GRD/</w:t>
            </w:r>
          </w:p>
          <w:p w:rsidR="00EF1D6C" w:rsidRDefault="003C3919" w:rsidP="003C3919">
            <w:pPr>
              <w:cnfStyle w:val="000000100000"/>
              <w:rPr>
                <w:rFonts w:ascii="Century Gothic" w:hAnsi="Century Gothic"/>
              </w:rPr>
            </w:pPr>
            <w:r w:rsidRPr="008779CD">
              <w:rPr>
                <w:rFonts w:ascii="Century Gothic" w:hAnsi="Century Gothic"/>
              </w:rPr>
              <w:t xml:space="preserve">producteurs SER et </w:t>
            </w:r>
            <w:proofErr w:type="spellStart"/>
            <w:r w:rsidRPr="008779CD">
              <w:rPr>
                <w:rFonts w:ascii="Century Gothic" w:hAnsi="Century Gothic"/>
              </w:rPr>
              <w:t>cogen</w:t>
            </w:r>
            <w:proofErr w:type="spellEnd"/>
            <w:r w:rsidRPr="008779CD">
              <w:rPr>
                <w:rFonts w:ascii="Century Gothic" w:hAnsi="Century Gothic"/>
              </w:rPr>
              <w:t>/</w:t>
            </w:r>
          </w:p>
          <w:p w:rsidR="003C3919" w:rsidRPr="008779CD" w:rsidRDefault="003C3919" w:rsidP="003C3919">
            <w:pPr>
              <w:cnfStyle w:val="000000100000"/>
              <w:rPr>
                <w:rFonts w:ascii="Century Gothic" w:hAnsi="Century Gothic"/>
              </w:rPr>
            </w:pPr>
            <w:r w:rsidRPr="008779CD">
              <w:rPr>
                <w:rFonts w:ascii="Century Gothic" w:hAnsi="Century Gothic"/>
              </w:rPr>
              <w:t>clients</w:t>
            </w:r>
          </w:p>
        </w:tc>
      </w:tr>
      <w:tr w:rsidR="003C3919" w:rsidRPr="008779CD" w:rsidTr="00D104CF">
        <w:tc>
          <w:tcPr>
            <w:cnfStyle w:val="001000000000"/>
            <w:tcW w:w="2802" w:type="dxa"/>
          </w:tcPr>
          <w:p w:rsidR="003C3919" w:rsidRPr="008779CD" w:rsidRDefault="003C3919" w:rsidP="003C3919">
            <w:pPr>
              <w:rPr>
                <w:rFonts w:ascii="Century Gothic" w:hAnsi="Century Gothic"/>
              </w:rPr>
            </w:pPr>
            <w:r w:rsidRPr="008779CD">
              <w:rPr>
                <w:rFonts w:ascii="Century Gothic" w:hAnsi="Century Gothic"/>
              </w:rPr>
              <w:t xml:space="preserve">Obligations de service public à charge des fournisseurs </w:t>
            </w:r>
            <w:r w:rsidRPr="008779CD">
              <w:rPr>
                <w:rFonts w:ascii="Century Gothic" w:hAnsi="Century Gothic"/>
              </w:rPr>
              <w:br/>
            </w:r>
          </w:p>
        </w:tc>
        <w:tc>
          <w:tcPr>
            <w:tcW w:w="10064" w:type="dxa"/>
          </w:tcPr>
          <w:p w:rsidR="003C3919" w:rsidRPr="008779CD" w:rsidRDefault="003C3919" w:rsidP="003C3919">
            <w:pPr>
              <w:cnfStyle w:val="000000000000"/>
              <w:rPr>
                <w:rFonts w:ascii="Century Gothic" w:hAnsi="Century Gothic"/>
              </w:rPr>
            </w:pPr>
            <w:r w:rsidRPr="008779CD">
              <w:rPr>
                <w:rFonts w:ascii="Century Gothic" w:hAnsi="Century Gothic"/>
              </w:rPr>
              <w:t>Des obligations de services publiques sont imposées aux GRD afin notamment :</w:t>
            </w:r>
          </w:p>
          <w:p w:rsidR="003C3919" w:rsidRPr="008779CD" w:rsidRDefault="003C3919" w:rsidP="003C3919">
            <w:pPr>
              <w:pStyle w:val="Paragraphedeliste"/>
              <w:numPr>
                <w:ilvl w:val="0"/>
                <w:numId w:val="4"/>
              </w:numPr>
              <w:ind w:left="197" w:hanging="219"/>
              <w:cnfStyle w:val="000000000000"/>
              <w:rPr>
                <w:rFonts w:ascii="Century Gothic" w:hAnsi="Century Gothic"/>
                <w:lang w:val="fr-BE"/>
              </w:rPr>
            </w:pPr>
            <w:r w:rsidRPr="008779CD">
              <w:rPr>
                <w:rFonts w:ascii="Century Gothic" w:hAnsi="Century Gothic"/>
                <w:lang w:val="fr-BE"/>
              </w:rPr>
              <w:t>D’assurer la régularité et qualité des fournitures</w:t>
            </w:r>
          </w:p>
          <w:p w:rsidR="003C3919" w:rsidRPr="008779CD" w:rsidRDefault="003C3919" w:rsidP="003C3919">
            <w:pPr>
              <w:pStyle w:val="Paragraphedeliste"/>
              <w:numPr>
                <w:ilvl w:val="0"/>
                <w:numId w:val="4"/>
              </w:numPr>
              <w:ind w:left="197" w:hanging="219"/>
              <w:cnfStyle w:val="000000000000"/>
              <w:rPr>
                <w:rFonts w:ascii="Century Gothic" w:hAnsi="Century Gothic"/>
                <w:lang w:val="fr-BE"/>
              </w:rPr>
            </w:pPr>
            <w:r w:rsidRPr="008779CD">
              <w:rPr>
                <w:rFonts w:ascii="Century Gothic" w:hAnsi="Century Gothic"/>
                <w:lang w:val="fr-BE"/>
              </w:rPr>
              <w:t>D’améliorer les services aux clients (facturation, gestion des plaintes, information, ...)</w:t>
            </w:r>
          </w:p>
          <w:p w:rsidR="003C3919" w:rsidRPr="008779CD" w:rsidRDefault="003C3919" w:rsidP="003C3919">
            <w:pPr>
              <w:pStyle w:val="Paragraphedeliste"/>
              <w:numPr>
                <w:ilvl w:val="0"/>
                <w:numId w:val="4"/>
              </w:numPr>
              <w:ind w:left="197" w:hanging="219"/>
              <w:cnfStyle w:val="000000000000"/>
              <w:rPr>
                <w:rFonts w:ascii="Century Gothic" w:hAnsi="Century Gothic"/>
                <w:lang w:val="fr-BE"/>
              </w:rPr>
            </w:pPr>
            <w:r w:rsidRPr="008779CD">
              <w:rPr>
                <w:rFonts w:ascii="Century Gothic" w:hAnsi="Century Gothic"/>
                <w:lang w:val="fr-BE"/>
              </w:rPr>
              <w:t>Renforcer la protection sociale des clients protégés</w:t>
            </w:r>
          </w:p>
          <w:p w:rsidR="003C3919" w:rsidRPr="008779CD" w:rsidRDefault="003C3919" w:rsidP="003C3919">
            <w:pPr>
              <w:pStyle w:val="Paragraphedeliste"/>
              <w:numPr>
                <w:ilvl w:val="0"/>
                <w:numId w:val="4"/>
              </w:numPr>
              <w:ind w:left="197" w:hanging="219"/>
              <w:cnfStyle w:val="000000000000"/>
              <w:rPr>
                <w:rFonts w:ascii="Century Gothic" w:hAnsi="Century Gothic"/>
                <w:lang w:val="fr-BE"/>
              </w:rPr>
            </w:pPr>
            <w:r w:rsidRPr="008779CD">
              <w:rPr>
                <w:rFonts w:ascii="Century Gothic" w:hAnsi="Century Gothic"/>
                <w:lang w:val="fr-BE"/>
              </w:rPr>
              <w:t>Renforcer la protection de l’environnement (certificats verts en électricité)</w:t>
            </w:r>
          </w:p>
          <w:p w:rsidR="003C3919" w:rsidRPr="008779CD" w:rsidRDefault="003C3919" w:rsidP="003C3919">
            <w:pPr>
              <w:pStyle w:val="Paragraphedeliste"/>
              <w:numPr>
                <w:ilvl w:val="0"/>
                <w:numId w:val="4"/>
              </w:numPr>
              <w:ind w:left="197" w:hanging="219"/>
              <w:cnfStyle w:val="000000000000"/>
              <w:rPr>
                <w:rFonts w:ascii="Century Gothic" w:hAnsi="Century Gothic"/>
                <w:lang w:val="fr-BE"/>
              </w:rPr>
            </w:pPr>
            <w:r w:rsidRPr="008779CD">
              <w:rPr>
                <w:rFonts w:ascii="Century Gothic" w:hAnsi="Century Gothic"/>
                <w:lang w:val="fr-BE"/>
              </w:rPr>
              <w:t>Favoriser l’utilisation rationnelle de l’énergie.</w:t>
            </w:r>
          </w:p>
        </w:tc>
        <w:tc>
          <w:tcPr>
            <w:tcW w:w="2268" w:type="dxa"/>
          </w:tcPr>
          <w:p w:rsidR="00EF1D6C" w:rsidRDefault="003C3919" w:rsidP="003C3919">
            <w:pPr>
              <w:cnfStyle w:val="000000000000"/>
              <w:rPr>
                <w:rFonts w:ascii="Century Gothic" w:hAnsi="Century Gothic"/>
              </w:rPr>
            </w:pPr>
            <w:r w:rsidRPr="008779CD">
              <w:rPr>
                <w:rFonts w:ascii="Century Gothic" w:hAnsi="Century Gothic"/>
              </w:rPr>
              <w:t>Fournisseurs/</w:t>
            </w:r>
          </w:p>
          <w:p w:rsidR="003C3919" w:rsidRPr="008779CD" w:rsidRDefault="003C3919" w:rsidP="003C3919">
            <w:pPr>
              <w:cnfStyle w:val="000000000000"/>
              <w:rPr>
                <w:rFonts w:ascii="Century Gothic" w:hAnsi="Century Gothic"/>
              </w:rPr>
            </w:pPr>
            <w:r w:rsidRPr="008779CD">
              <w:rPr>
                <w:rFonts w:ascii="Century Gothic" w:hAnsi="Century Gothic"/>
              </w:rPr>
              <w:t xml:space="preserve">producteurs </w:t>
            </w:r>
            <w:proofErr w:type="spellStart"/>
            <w:r w:rsidRPr="008779CD">
              <w:rPr>
                <w:rFonts w:ascii="Century Gothic" w:hAnsi="Century Gothic"/>
              </w:rPr>
              <w:t>producteurs</w:t>
            </w:r>
            <w:proofErr w:type="spellEnd"/>
            <w:r w:rsidRPr="008779CD">
              <w:rPr>
                <w:rFonts w:ascii="Century Gothic" w:hAnsi="Century Gothic"/>
              </w:rPr>
              <w:t xml:space="preserve"> SER et </w:t>
            </w:r>
            <w:proofErr w:type="spellStart"/>
            <w:r w:rsidRPr="008779CD">
              <w:rPr>
                <w:rFonts w:ascii="Century Gothic" w:hAnsi="Century Gothic"/>
              </w:rPr>
              <w:t>cogen</w:t>
            </w:r>
            <w:proofErr w:type="spellEnd"/>
            <w:r w:rsidRPr="008779CD">
              <w:rPr>
                <w:rFonts w:ascii="Century Gothic" w:hAnsi="Century Gothic"/>
              </w:rPr>
              <w:t xml:space="preserve"> /clients</w:t>
            </w:r>
          </w:p>
        </w:tc>
      </w:tr>
    </w:tbl>
    <w:p w:rsidR="003C3919" w:rsidRDefault="003C3919" w:rsidP="00EA2A5A">
      <w:pPr>
        <w:rPr>
          <w:rFonts w:ascii="Century Gothic" w:hAnsi="Century Gothic"/>
          <w:b/>
          <w:color w:val="1F497D" w:themeColor="text2"/>
        </w:rPr>
      </w:pPr>
    </w:p>
    <w:p w:rsidR="00EC3903" w:rsidRDefault="00EC3903" w:rsidP="00EA2A5A">
      <w:pPr>
        <w:rPr>
          <w:rFonts w:ascii="Century Gothic" w:hAnsi="Century Gothic"/>
          <w:b/>
          <w:color w:val="1F497D" w:themeColor="text2"/>
        </w:rPr>
      </w:pPr>
    </w:p>
    <w:p w:rsidR="00EC3903" w:rsidRDefault="00EC3903" w:rsidP="00EA2A5A">
      <w:pPr>
        <w:rPr>
          <w:rFonts w:ascii="Century Gothic" w:hAnsi="Century Gothic"/>
          <w:b/>
          <w:color w:val="1F497D" w:themeColor="text2"/>
        </w:rPr>
      </w:pPr>
    </w:p>
    <w:p w:rsidR="00EC3903" w:rsidRDefault="00EC3903" w:rsidP="00EA2A5A">
      <w:pPr>
        <w:rPr>
          <w:rFonts w:ascii="Century Gothic" w:hAnsi="Century Gothic"/>
          <w:b/>
          <w:color w:val="1F497D" w:themeColor="text2"/>
        </w:rPr>
      </w:pPr>
    </w:p>
    <w:p w:rsidR="00EC3903" w:rsidRDefault="00EC3903" w:rsidP="00EA2A5A">
      <w:pPr>
        <w:rPr>
          <w:rFonts w:ascii="Century Gothic" w:hAnsi="Century Gothic"/>
          <w:b/>
          <w:color w:val="1F497D" w:themeColor="text2"/>
        </w:rPr>
      </w:pPr>
    </w:p>
    <w:tbl>
      <w:tblPr>
        <w:tblStyle w:val="Listeclaire-Accent1"/>
        <w:tblW w:w="15134" w:type="dxa"/>
        <w:tblLayout w:type="fixed"/>
        <w:tblLook w:val="04A0"/>
      </w:tblPr>
      <w:tblGrid>
        <w:gridCol w:w="2943"/>
        <w:gridCol w:w="9639"/>
        <w:gridCol w:w="2552"/>
      </w:tblGrid>
      <w:tr w:rsidR="00EC3903" w:rsidRPr="008779CD" w:rsidTr="00056844">
        <w:trPr>
          <w:cnfStyle w:val="100000000000"/>
        </w:trPr>
        <w:tc>
          <w:tcPr>
            <w:cnfStyle w:val="001000000000"/>
            <w:tcW w:w="15134" w:type="dxa"/>
            <w:gridSpan w:val="3"/>
          </w:tcPr>
          <w:p w:rsidR="00EC3903" w:rsidRDefault="00EC3903" w:rsidP="007D02F9">
            <w:pPr>
              <w:rPr>
                <w:rFonts w:ascii="Century Gothic" w:hAnsi="Century Gothic"/>
                <w:sz w:val="24"/>
                <w:szCs w:val="24"/>
              </w:rPr>
            </w:pPr>
            <w:r w:rsidRPr="008769F8">
              <w:rPr>
                <w:rFonts w:ascii="Century Gothic" w:hAnsi="Century Gothic"/>
                <w:sz w:val="24"/>
                <w:szCs w:val="24"/>
              </w:rPr>
              <w:lastRenderedPageBreak/>
              <w:t xml:space="preserve">Dispositions applicables </w:t>
            </w:r>
            <w:r>
              <w:rPr>
                <w:rFonts w:ascii="Century Gothic" w:hAnsi="Century Gothic"/>
                <w:sz w:val="24"/>
                <w:szCs w:val="24"/>
              </w:rPr>
              <w:t xml:space="preserve"> à la régulation du marché et au règlement des litiges</w:t>
            </w:r>
          </w:p>
          <w:p w:rsidR="00EC3903" w:rsidRPr="008779CD" w:rsidRDefault="00EC3903" w:rsidP="007D02F9">
            <w:pPr>
              <w:rPr>
                <w:rFonts w:ascii="Century Gothic" w:hAnsi="Century Gothic"/>
              </w:rPr>
            </w:pPr>
          </w:p>
        </w:tc>
      </w:tr>
      <w:tr w:rsidR="00EC3903" w:rsidRPr="00733DF1" w:rsidTr="00056844">
        <w:trPr>
          <w:cnfStyle w:val="000000100000"/>
        </w:trPr>
        <w:tc>
          <w:tcPr>
            <w:cnfStyle w:val="001000000000"/>
            <w:tcW w:w="2943" w:type="dxa"/>
            <w:shd w:val="clear" w:color="auto" w:fill="4F81BD" w:themeFill="accent1"/>
          </w:tcPr>
          <w:p w:rsidR="00EC3903" w:rsidRPr="00733DF1" w:rsidRDefault="00EC3903" w:rsidP="007D02F9">
            <w:pPr>
              <w:rPr>
                <w:rFonts w:ascii="Century Gothic" w:hAnsi="Century Gothic"/>
                <w:color w:val="FFFFFF" w:themeColor="background1"/>
              </w:rPr>
            </w:pPr>
            <w:r w:rsidRPr="00733DF1">
              <w:rPr>
                <w:rFonts w:ascii="Century Gothic" w:hAnsi="Century Gothic"/>
                <w:color w:val="FFFFFF" w:themeColor="background1"/>
              </w:rPr>
              <w:t>Mesure</w:t>
            </w:r>
          </w:p>
        </w:tc>
        <w:tc>
          <w:tcPr>
            <w:tcW w:w="9639" w:type="dxa"/>
            <w:shd w:val="clear" w:color="auto" w:fill="4F81BD" w:themeFill="accent1"/>
          </w:tcPr>
          <w:p w:rsidR="00EC3903" w:rsidRPr="00733DF1" w:rsidRDefault="00EC3903" w:rsidP="007D02F9">
            <w:pPr>
              <w:cnfStyle w:val="000000100000"/>
              <w:rPr>
                <w:rFonts w:ascii="Century Gothic" w:hAnsi="Century Gothic"/>
                <w:b/>
                <w:color w:val="FFFFFF" w:themeColor="background1"/>
              </w:rPr>
            </w:pPr>
            <w:r w:rsidRPr="00733DF1">
              <w:rPr>
                <w:rFonts w:ascii="Century Gothic" w:hAnsi="Century Gothic"/>
                <w:b/>
                <w:color w:val="FFFFFF" w:themeColor="background1"/>
              </w:rPr>
              <w:t>Description</w:t>
            </w:r>
          </w:p>
        </w:tc>
        <w:tc>
          <w:tcPr>
            <w:tcW w:w="2552" w:type="dxa"/>
            <w:shd w:val="clear" w:color="auto" w:fill="4F81BD" w:themeFill="accent1"/>
          </w:tcPr>
          <w:p w:rsidR="00EC3903" w:rsidRPr="00733DF1" w:rsidRDefault="00EC3903" w:rsidP="007D02F9">
            <w:pPr>
              <w:cnfStyle w:val="000000100000"/>
              <w:rPr>
                <w:rFonts w:ascii="Century Gothic" w:hAnsi="Century Gothic"/>
                <w:b/>
                <w:color w:val="FFFFFF" w:themeColor="background1"/>
              </w:rPr>
            </w:pPr>
            <w:r w:rsidRPr="00733DF1">
              <w:rPr>
                <w:rFonts w:ascii="Century Gothic" w:hAnsi="Century Gothic"/>
                <w:b/>
                <w:color w:val="FFFFFF" w:themeColor="background1"/>
              </w:rPr>
              <w:t>Public visé</w:t>
            </w:r>
          </w:p>
        </w:tc>
      </w:tr>
      <w:tr w:rsidR="00EC3903" w:rsidRPr="008779CD" w:rsidTr="00056844">
        <w:tc>
          <w:tcPr>
            <w:cnfStyle w:val="001000000000"/>
            <w:tcW w:w="2943" w:type="dxa"/>
          </w:tcPr>
          <w:p w:rsidR="00EC3903" w:rsidRPr="008779CD" w:rsidRDefault="00EC3903" w:rsidP="007D02F9">
            <w:pPr>
              <w:rPr>
                <w:rFonts w:ascii="Century Gothic" w:hAnsi="Century Gothic"/>
              </w:rPr>
            </w:pPr>
            <w:r w:rsidRPr="008779CD">
              <w:rPr>
                <w:rFonts w:ascii="Century Gothic" w:hAnsi="Century Gothic"/>
              </w:rPr>
              <w:t xml:space="preserve">CWAPE </w:t>
            </w:r>
            <w:r w:rsidRPr="008779CD">
              <w:rPr>
                <w:rFonts w:ascii="Century Gothic" w:hAnsi="Century Gothic"/>
              </w:rPr>
              <w:br/>
            </w:r>
          </w:p>
        </w:tc>
        <w:tc>
          <w:tcPr>
            <w:tcW w:w="9639" w:type="dxa"/>
          </w:tcPr>
          <w:p w:rsidR="00EC3903" w:rsidRPr="008779CD" w:rsidRDefault="00EC3903" w:rsidP="007D02F9">
            <w:pPr>
              <w:cnfStyle w:val="000000000000"/>
              <w:rPr>
                <w:rFonts w:ascii="Century Gothic" w:hAnsi="Century Gothic"/>
              </w:rPr>
            </w:pPr>
            <w:r w:rsidRPr="008779CD">
              <w:rPr>
                <w:rFonts w:ascii="Century Gothic" w:hAnsi="Century Gothic"/>
              </w:rPr>
              <w:t>La Commission wallonne pour l’énergie est le régulateur wallon. La CWaPE est une instance de contrôle et de régulation des marchés régionaux du gaz et de l’électricité. Elle émet également des avis à l’attention du Gouvernement. Elle est indépendante des acteurs de marchés et des instances politiques. Le comité de direction de la CWaPE est composé d’un président et de 4 directeurs, dont un vice président. Les services de la CWaPE sont organisés en  quatre directions, à savoir :</w:t>
            </w:r>
            <w:r w:rsidRPr="008779CD">
              <w:rPr>
                <w:rFonts w:ascii="Century Gothic" w:hAnsi="Century Gothic"/>
              </w:rPr>
              <w:br/>
              <w:t>   1° une direction technique chargée des aspects techniques des marchés du gaz et de l'électricité ;</w:t>
            </w:r>
            <w:r w:rsidRPr="008779CD">
              <w:rPr>
                <w:rFonts w:ascii="Century Gothic" w:hAnsi="Century Gothic"/>
              </w:rPr>
              <w:br/>
              <w:t>   2° une direction socio-économique et tarifaire ;</w:t>
            </w:r>
            <w:r w:rsidRPr="008779CD">
              <w:rPr>
                <w:rFonts w:ascii="Century Gothic" w:hAnsi="Century Gothic"/>
              </w:rPr>
              <w:br/>
              <w:t>   3° une direction de la promotion de l'électricité verte ;</w:t>
            </w:r>
          </w:p>
          <w:p w:rsidR="00EC3903" w:rsidRPr="008779CD" w:rsidRDefault="00EC3903" w:rsidP="007D02F9">
            <w:pPr>
              <w:cnfStyle w:val="000000000000"/>
              <w:rPr>
                <w:rFonts w:ascii="Century Gothic" w:hAnsi="Century Gothic"/>
              </w:rPr>
            </w:pPr>
            <w:r w:rsidRPr="008779CD">
              <w:rPr>
                <w:rFonts w:ascii="Century Gothic" w:hAnsi="Century Gothic"/>
              </w:rPr>
              <w:t>   4° une direction des services aux consommateurs et des services juridiques.</w:t>
            </w:r>
          </w:p>
        </w:tc>
        <w:tc>
          <w:tcPr>
            <w:tcW w:w="2552" w:type="dxa"/>
          </w:tcPr>
          <w:p w:rsidR="00EC3903" w:rsidRPr="008779CD" w:rsidRDefault="00EC3903" w:rsidP="007D02F9">
            <w:pPr>
              <w:cnfStyle w:val="000000000000"/>
              <w:rPr>
                <w:rFonts w:ascii="Century Gothic" w:hAnsi="Century Gothic"/>
              </w:rPr>
            </w:pPr>
            <w:r w:rsidRPr="008779CD">
              <w:rPr>
                <w:rFonts w:ascii="Century Gothic" w:hAnsi="Century Gothic"/>
              </w:rPr>
              <w:t>CWaPE</w:t>
            </w:r>
          </w:p>
        </w:tc>
      </w:tr>
      <w:tr w:rsidR="00EC3903" w:rsidRPr="008779CD" w:rsidTr="00056844">
        <w:trPr>
          <w:cnfStyle w:val="000000100000"/>
        </w:trPr>
        <w:tc>
          <w:tcPr>
            <w:cnfStyle w:val="001000000000"/>
            <w:tcW w:w="2943" w:type="dxa"/>
          </w:tcPr>
          <w:p w:rsidR="00EC3903" w:rsidRPr="008779CD" w:rsidRDefault="00EC3903" w:rsidP="007D02F9">
            <w:pPr>
              <w:rPr>
                <w:rFonts w:ascii="Century Gothic" w:hAnsi="Century Gothic"/>
              </w:rPr>
            </w:pPr>
            <w:r w:rsidRPr="008779CD">
              <w:rPr>
                <w:rFonts w:ascii="Century Gothic" w:hAnsi="Century Gothic"/>
              </w:rPr>
              <w:t>Service régional de médiation</w:t>
            </w:r>
            <w:r w:rsidRPr="008779CD">
              <w:rPr>
                <w:rFonts w:ascii="Century Gothic" w:hAnsi="Century Gothic"/>
              </w:rPr>
              <w:br/>
            </w:r>
          </w:p>
        </w:tc>
        <w:tc>
          <w:tcPr>
            <w:tcW w:w="9639" w:type="dxa"/>
          </w:tcPr>
          <w:p w:rsidR="00EC3903" w:rsidRPr="008779CD" w:rsidRDefault="00EC3903" w:rsidP="007D02F9">
            <w:pPr>
              <w:cnfStyle w:val="000000100000"/>
              <w:rPr>
                <w:rFonts w:ascii="Century Gothic" w:hAnsi="Century Gothic"/>
              </w:rPr>
            </w:pPr>
            <w:r w:rsidRPr="008779CD">
              <w:rPr>
                <w:rFonts w:ascii="Century Gothic" w:hAnsi="Century Gothic"/>
              </w:rPr>
              <w:t>La CWaPE a été chargée d’organiser un service régional de médiation. Celui-ci est instauré au sein de la direction des services aux consommateurs. Ce service est compétent pour toute plainte ou question relative aux marchés du gaz et de l’électricité</w:t>
            </w:r>
          </w:p>
        </w:tc>
        <w:tc>
          <w:tcPr>
            <w:tcW w:w="2552" w:type="dxa"/>
          </w:tcPr>
          <w:p w:rsidR="00EC3903" w:rsidRPr="008779CD" w:rsidRDefault="00EC3903" w:rsidP="007D02F9">
            <w:pPr>
              <w:cnfStyle w:val="000000100000"/>
              <w:rPr>
                <w:rFonts w:ascii="Century Gothic" w:hAnsi="Century Gothic"/>
              </w:rPr>
            </w:pPr>
            <w:r w:rsidRPr="008779CD">
              <w:rPr>
                <w:rFonts w:ascii="Century Gothic" w:hAnsi="Century Gothic"/>
              </w:rPr>
              <w:t>CWaPE/Clients</w:t>
            </w:r>
          </w:p>
        </w:tc>
      </w:tr>
      <w:tr w:rsidR="00EC3903" w:rsidRPr="008779CD" w:rsidTr="00056844">
        <w:tc>
          <w:tcPr>
            <w:cnfStyle w:val="001000000000"/>
            <w:tcW w:w="2943" w:type="dxa"/>
          </w:tcPr>
          <w:p w:rsidR="00EC3903" w:rsidRPr="008779CD" w:rsidRDefault="00EC3903" w:rsidP="007D02F9">
            <w:pPr>
              <w:rPr>
                <w:rFonts w:ascii="Century Gothic" w:hAnsi="Century Gothic"/>
              </w:rPr>
            </w:pPr>
            <w:r w:rsidRPr="008779CD">
              <w:rPr>
                <w:rFonts w:ascii="Century Gothic" w:hAnsi="Century Gothic"/>
              </w:rPr>
              <w:t>Chambre des litiges</w:t>
            </w:r>
            <w:r w:rsidRPr="008779CD">
              <w:rPr>
                <w:rFonts w:ascii="Century Gothic" w:hAnsi="Century Gothic"/>
              </w:rPr>
              <w:br/>
            </w:r>
          </w:p>
        </w:tc>
        <w:tc>
          <w:tcPr>
            <w:tcW w:w="9639" w:type="dxa"/>
          </w:tcPr>
          <w:p w:rsidR="00EC3903" w:rsidRPr="008779CD" w:rsidRDefault="00EC3903" w:rsidP="007D02F9">
            <w:pPr>
              <w:cnfStyle w:val="000000000000"/>
              <w:rPr>
                <w:rFonts w:ascii="Century Gothic" w:hAnsi="Century Gothic"/>
              </w:rPr>
            </w:pPr>
            <w:r w:rsidRPr="008779CD">
              <w:rPr>
                <w:rFonts w:ascii="Century Gothic" w:hAnsi="Century Gothic"/>
              </w:rPr>
              <w:t>Le décret prévoit la création d’une chambre des litiges au sein de la CWaPE. Cette chambre traite des différends relatifs aux obligations imposées aux gestionnaires de réseaux à l’exception des droits et obligations de nature civile.</w:t>
            </w:r>
          </w:p>
        </w:tc>
        <w:tc>
          <w:tcPr>
            <w:tcW w:w="2552" w:type="dxa"/>
          </w:tcPr>
          <w:p w:rsidR="00EC3903" w:rsidRPr="008779CD" w:rsidRDefault="00EC3903" w:rsidP="007D02F9">
            <w:pPr>
              <w:cnfStyle w:val="000000000000"/>
              <w:rPr>
                <w:rFonts w:ascii="Century Gothic" w:hAnsi="Century Gothic"/>
              </w:rPr>
            </w:pPr>
            <w:r w:rsidRPr="008779CD">
              <w:rPr>
                <w:rFonts w:ascii="Century Gothic" w:hAnsi="Century Gothic"/>
              </w:rPr>
              <w:t>GRD/fournisseurs/producteurs</w:t>
            </w:r>
          </w:p>
        </w:tc>
      </w:tr>
    </w:tbl>
    <w:p w:rsidR="00EC3903" w:rsidRDefault="00EC3903" w:rsidP="00EA2A5A">
      <w:pPr>
        <w:rPr>
          <w:rFonts w:ascii="Century Gothic" w:hAnsi="Century Gothic"/>
          <w:b/>
          <w:color w:val="1F497D" w:themeColor="text2"/>
        </w:rPr>
      </w:pPr>
    </w:p>
    <w:p w:rsidR="00EC3903" w:rsidRDefault="00EC3903" w:rsidP="00EA2A5A">
      <w:pPr>
        <w:rPr>
          <w:rFonts w:ascii="Century Gothic" w:hAnsi="Century Gothic"/>
          <w:b/>
          <w:color w:val="1F497D" w:themeColor="text2"/>
        </w:rPr>
      </w:pPr>
    </w:p>
    <w:p w:rsidR="00EC3903" w:rsidRDefault="00EC3903" w:rsidP="00EA2A5A">
      <w:pPr>
        <w:rPr>
          <w:rFonts w:ascii="Century Gothic" w:hAnsi="Century Gothic"/>
          <w:b/>
          <w:color w:val="1F497D" w:themeColor="text2"/>
        </w:rPr>
      </w:pPr>
    </w:p>
    <w:p w:rsidR="00EC3903" w:rsidRDefault="00EC3903" w:rsidP="00EA2A5A">
      <w:pPr>
        <w:rPr>
          <w:rFonts w:ascii="Century Gothic" w:hAnsi="Century Gothic"/>
          <w:b/>
          <w:color w:val="1F497D" w:themeColor="text2"/>
        </w:rPr>
      </w:pPr>
    </w:p>
    <w:p w:rsidR="00EC3903" w:rsidRDefault="00EC3903" w:rsidP="00EA2A5A">
      <w:pPr>
        <w:rPr>
          <w:rFonts w:ascii="Century Gothic" w:hAnsi="Century Gothic"/>
          <w:b/>
          <w:color w:val="1F497D" w:themeColor="text2"/>
        </w:rPr>
      </w:pPr>
    </w:p>
    <w:p w:rsidR="00EC3903" w:rsidRDefault="00EC3903" w:rsidP="00EA2A5A">
      <w:pPr>
        <w:rPr>
          <w:rFonts w:ascii="Century Gothic" w:hAnsi="Century Gothic"/>
          <w:b/>
          <w:color w:val="1F497D" w:themeColor="text2"/>
        </w:rPr>
      </w:pPr>
    </w:p>
    <w:p w:rsidR="00EC3903" w:rsidRDefault="00EC3903" w:rsidP="00EA2A5A">
      <w:pPr>
        <w:rPr>
          <w:rFonts w:ascii="Century Gothic" w:hAnsi="Century Gothic"/>
          <w:b/>
          <w:color w:val="1F497D" w:themeColor="text2"/>
        </w:rPr>
      </w:pPr>
    </w:p>
    <w:p w:rsidR="008D4D77" w:rsidRPr="002A13DA" w:rsidRDefault="004F6A29" w:rsidP="002A13DA">
      <w:pPr>
        <w:pStyle w:val="Paragraphedeliste"/>
        <w:numPr>
          <w:ilvl w:val="0"/>
          <w:numId w:val="27"/>
        </w:numPr>
        <w:rPr>
          <w:rFonts w:ascii="Century Gothic" w:hAnsi="Century Gothic"/>
          <w:b/>
          <w:i/>
          <w:color w:val="1F497D" w:themeColor="text2"/>
          <w:u w:val="single"/>
        </w:rPr>
      </w:pPr>
      <w:proofErr w:type="spellStart"/>
      <w:r w:rsidRPr="002A13DA">
        <w:rPr>
          <w:rFonts w:ascii="Century Gothic" w:hAnsi="Century Gothic"/>
          <w:b/>
          <w:i/>
          <w:color w:val="1F497D" w:themeColor="text2"/>
          <w:u w:val="single"/>
        </w:rPr>
        <w:lastRenderedPageBreak/>
        <w:t>Mesures</w:t>
      </w:r>
      <w:proofErr w:type="spellEnd"/>
      <w:r w:rsidRPr="002A13DA">
        <w:rPr>
          <w:rFonts w:ascii="Century Gothic" w:hAnsi="Century Gothic"/>
          <w:b/>
          <w:i/>
          <w:color w:val="1F497D" w:themeColor="text2"/>
          <w:u w:val="single"/>
        </w:rPr>
        <w:t xml:space="preserve"> d</w:t>
      </w:r>
      <w:r w:rsidR="00A45C91" w:rsidRPr="002A13DA">
        <w:rPr>
          <w:rFonts w:ascii="Century Gothic" w:hAnsi="Century Gothic"/>
          <w:b/>
          <w:i/>
          <w:color w:val="1F497D" w:themeColor="text2"/>
          <w:u w:val="single"/>
        </w:rPr>
        <w:t xml:space="preserve">e type </w:t>
      </w:r>
      <w:proofErr w:type="spellStart"/>
      <w:r w:rsidR="00A45C91" w:rsidRPr="002A13DA">
        <w:rPr>
          <w:rFonts w:ascii="Century Gothic" w:hAnsi="Century Gothic"/>
          <w:b/>
          <w:i/>
          <w:color w:val="1F497D" w:themeColor="text2"/>
          <w:u w:val="single"/>
        </w:rPr>
        <w:t>incitative</w:t>
      </w:r>
      <w:proofErr w:type="spellEnd"/>
    </w:p>
    <w:p w:rsidR="00C55B85" w:rsidRDefault="00C55B85" w:rsidP="00FB784C">
      <w:pPr>
        <w:rPr>
          <w:rFonts w:ascii="Century Gothic" w:hAnsi="Century Gothic"/>
          <w:b/>
          <w:color w:val="1F497D" w:themeColor="text2"/>
        </w:rPr>
      </w:pPr>
    </w:p>
    <w:p w:rsidR="002A13DA" w:rsidRPr="002A13DA" w:rsidRDefault="002A13DA" w:rsidP="00FB784C">
      <w:pPr>
        <w:rPr>
          <w:rFonts w:ascii="Century Gothic" w:hAnsi="Century Gothic"/>
          <w:b/>
          <w:i/>
          <w:color w:val="1F497D" w:themeColor="text2"/>
        </w:rPr>
      </w:pPr>
      <w:r>
        <w:rPr>
          <w:rFonts w:ascii="Century Gothic" w:hAnsi="Century Gothic"/>
          <w:b/>
          <w:i/>
          <w:color w:val="1F497D" w:themeColor="text2"/>
        </w:rPr>
        <w:t>Liées à la  p</w:t>
      </w:r>
      <w:r w:rsidRPr="002A13DA">
        <w:rPr>
          <w:rFonts w:ascii="Century Gothic" w:hAnsi="Century Gothic"/>
          <w:b/>
          <w:i/>
          <w:color w:val="1F497D" w:themeColor="text2"/>
        </w:rPr>
        <w:t>récarité énergétique</w:t>
      </w:r>
    </w:p>
    <w:tbl>
      <w:tblPr>
        <w:tblStyle w:val="Listeclaire-Accent1"/>
        <w:tblW w:w="12866" w:type="dxa"/>
        <w:tblLayout w:type="fixed"/>
        <w:tblLook w:val="04A0"/>
      </w:tblPr>
      <w:tblGrid>
        <w:gridCol w:w="2518"/>
        <w:gridCol w:w="6946"/>
        <w:gridCol w:w="3402"/>
      </w:tblGrid>
      <w:tr w:rsidR="003A781A" w:rsidRPr="008779CD" w:rsidTr="003A781A">
        <w:trPr>
          <w:cnfStyle w:val="100000000000"/>
          <w:tblHeader/>
        </w:trPr>
        <w:tc>
          <w:tcPr>
            <w:cnfStyle w:val="001000000000"/>
            <w:tcW w:w="2518" w:type="dxa"/>
          </w:tcPr>
          <w:p w:rsidR="003A781A" w:rsidRPr="002A13DA" w:rsidRDefault="003A781A" w:rsidP="0077675C">
            <w:pPr>
              <w:rPr>
                <w:rFonts w:ascii="Century Gothic" w:hAnsi="Century Gothic"/>
              </w:rPr>
            </w:pPr>
            <w:r w:rsidRPr="002A13DA">
              <w:rPr>
                <w:rFonts w:ascii="Century Gothic" w:hAnsi="Century Gothic"/>
              </w:rPr>
              <w:t>Nom Mesure</w:t>
            </w:r>
          </w:p>
        </w:tc>
        <w:tc>
          <w:tcPr>
            <w:tcW w:w="6946" w:type="dxa"/>
          </w:tcPr>
          <w:p w:rsidR="003A781A" w:rsidRPr="002A13DA" w:rsidRDefault="003A781A" w:rsidP="0077675C">
            <w:pPr>
              <w:cnfStyle w:val="100000000000"/>
              <w:rPr>
                <w:rFonts w:ascii="Century Gothic" w:hAnsi="Century Gothic"/>
              </w:rPr>
            </w:pPr>
            <w:r w:rsidRPr="002A13DA">
              <w:rPr>
                <w:rFonts w:ascii="Century Gothic" w:hAnsi="Century Gothic"/>
              </w:rPr>
              <w:t>Description de la mesure</w:t>
            </w:r>
          </w:p>
        </w:tc>
        <w:tc>
          <w:tcPr>
            <w:tcW w:w="3402" w:type="dxa"/>
          </w:tcPr>
          <w:p w:rsidR="003A781A" w:rsidRPr="002A13DA" w:rsidRDefault="003A781A" w:rsidP="0077675C">
            <w:pPr>
              <w:cnfStyle w:val="100000000000"/>
              <w:rPr>
                <w:rFonts w:ascii="Century Gothic" w:hAnsi="Century Gothic"/>
              </w:rPr>
            </w:pPr>
            <w:r w:rsidRPr="002A13DA">
              <w:rPr>
                <w:rFonts w:ascii="Century Gothic" w:hAnsi="Century Gothic"/>
              </w:rPr>
              <w:t>Public /Secteur visé</w:t>
            </w:r>
          </w:p>
        </w:tc>
      </w:tr>
      <w:tr w:rsidR="003A781A" w:rsidRPr="008779CD" w:rsidTr="003A781A">
        <w:trPr>
          <w:cnfStyle w:val="000000100000"/>
        </w:trPr>
        <w:tc>
          <w:tcPr>
            <w:cnfStyle w:val="001000000000"/>
            <w:tcW w:w="2518" w:type="dxa"/>
          </w:tcPr>
          <w:p w:rsidR="003A781A" w:rsidRPr="008779CD" w:rsidRDefault="003A781A" w:rsidP="0077675C">
            <w:pPr>
              <w:rPr>
                <w:rFonts w:ascii="Century Gothic" w:hAnsi="Century Gothic"/>
              </w:rPr>
            </w:pPr>
            <w:r w:rsidRPr="008779CD">
              <w:rPr>
                <w:rFonts w:ascii="Century Gothic" w:hAnsi="Century Gothic"/>
              </w:rPr>
              <w:t>Plans d’action préventive pour l’énergie (PAPE)</w:t>
            </w:r>
          </w:p>
        </w:tc>
        <w:tc>
          <w:tcPr>
            <w:tcW w:w="6946" w:type="dxa"/>
          </w:tcPr>
          <w:p w:rsidR="003A781A" w:rsidRPr="008779CD" w:rsidRDefault="003A781A" w:rsidP="0077675C">
            <w:pPr>
              <w:cnfStyle w:val="000000100000"/>
              <w:rPr>
                <w:rFonts w:ascii="Century Gothic" w:hAnsi="Century Gothic"/>
              </w:rPr>
            </w:pPr>
            <w:r w:rsidRPr="008779CD">
              <w:rPr>
                <w:rFonts w:ascii="Century Gothic" w:hAnsi="Century Gothic"/>
              </w:rPr>
              <w:t>Des subsides régionaux sont accordés aux CPAS pour réaliser des plans d’action préventive pour l’énergie pendant 2 ans.</w:t>
            </w:r>
          </w:p>
          <w:p w:rsidR="003A781A" w:rsidRPr="008779CD" w:rsidRDefault="003A781A" w:rsidP="0077675C">
            <w:pPr>
              <w:cnfStyle w:val="000000100000"/>
              <w:rPr>
                <w:rFonts w:ascii="Century Gothic" w:hAnsi="Century Gothic" w:cs="Arial"/>
              </w:rPr>
            </w:pPr>
            <w:r w:rsidRPr="008779CD">
              <w:rPr>
                <w:rFonts w:ascii="Century Gothic" w:hAnsi="Century Gothic" w:cs="Arial"/>
              </w:rPr>
              <w:t>L’objectif de ces plans est d’accompagner les ménages en difficulté dans l’amélioration de leur gestion énergétique en vue de mieux maîtriser leur consommation et réduire leur facture d’énergie.</w:t>
            </w:r>
          </w:p>
          <w:p w:rsidR="003A781A" w:rsidRPr="008779CD" w:rsidRDefault="003A781A" w:rsidP="003F3B59">
            <w:pPr>
              <w:cnfStyle w:val="000000100000"/>
              <w:rPr>
                <w:rFonts w:ascii="Century Gothic" w:hAnsi="Century Gothic" w:cs="Arial"/>
              </w:rPr>
            </w:pPr>
            <w:r w:rsidRPr="008779CD">
              <w:rPr>
                <w:rFonts w:ascii="Century Gothic" w:hAnsi="Century Gothic" w:cs="Arial"/>
              </w:rPr>
              <w:t>Les actions menées dans le cadre des PAPE sont destinées exclusivement à un public adulte, bénéficiaire ou non du CPAS</w:t>
            </w:r>
            <w:r>
              <w:rPr>
                <w:rStyle w:val="Appelnotedebasdep"/>
                <w:rFonts w:ascii="Century Gothic" w:hAnsi="Century Gothic" w:cs="Arial"/>
              </w:rPr>
              <w:footnoteReference w:id="1"/>
            </w:r>
            <w:r w:rsidRPr="008779CD">
              <w:rPr>
                <w:rFonts w:ascii="Century Gothic" w:hAnsi="Century Gothic" w:cs="Arial"/>
              </w:rPr>
              <w:t>.</w:t>
            </w:r>
          </w:p>
          <w:p w:rsidR="003A781A" w:rsidRPr="008779CD" w:rsidRDefault="003A781A" w:rsidP="003F3B59">
            <w:pPr>
              <w:cnfStyle w:val="000000100000"/>
              <w:rPr>
                <w:rFonts w:ascii="Century Gothic" w:hAnsi="Century Gothic" w:cs="Arial"/>
              </w:rPr>
            </w:pPr>
            <w:r w:rsidRPr="008779CD">
              <w:rPr>
                <w:rFonts w:ascii="Century Gothic" w:hAnsi="Century Gothic" w:cs="Arial"/>
              </w:rPr>
              <w:br w:type="page"/>
              <w:t>Les actions sont de deux types :</w:t>
            </w:r>
          </w:p>
          <w:p w:rsidR="003A781A" w:rsidRPr="008779CD" w:rsidRDefault="003A781A" w:rsidP="0012526D">
            <w:pPr>
              <w:pStyle w:val="Paragraphedeliste"/>
              <w:numPr>
                <w:ilvl w:val="0"/>
                <w:numId w:val="4"/>
              </w:numPr>
              <w:ind w:left="274" w:hanging="274"/>
              <w:jc w:val="both"/>
              <w:cnfStyle w:val="000000100000"/>
              <w:rPr>
                <w:rFonts w:ascii="Century Gothic" w:hAnsi="Century Gothic"/>
                <w:lang w:val="fr-BE"/>
              </w:rPr>
            </w:pPr>
            <w:r w:rsidRPr="008779CD">
              <w:rPr>
                <w:rFonts w:ascii="Century Gothic" w:hAnsi="Century Gothic" w:cs="Arial"/>
                <w:lang w:val="fr-BE"/>
              </w:rPr>
              <w:t>Suivi individualisé de ménages précarisés bénéficiaires ou non du CPAS</w:t>
            </w:r>
          </w:p>
          <w:p w:rsidR="003A781A" w:rsidRPr="008779CD" w:rsidRDefault="003A781A" w:rsidP="003E6AF1">
            <w:pPr>
              <w:pStyle w:val="Paragraphedeliste"/>
              <w:numPr>
                <w:ilvl w:val="0"/>
                <w:numId w:val="4"/>
              </w:numPr>
              <w:ind w:left="274" w:hanging="274"/>
              <w:jc w:val="both"/>
              <w:cnfStyle w:val="000000100000"/>
              <w:rPr>
                <w:rFonts w:ascii="Century Gothic" w:hAnsi="Century Gothic"/>
                <w:lang w:val="fr-BE"/>
              </w:rPr>
            </w:pPr>
            <w:r w:rsidRPr="008779CD">
              <w:rPr>
                <w:rFonts w:ascii="Century Gothic" w:hAnsi="Century Gothic" w:cs="Arial"/>
                <w:lang w:val="fr-BE"/>
              </w:rPr>
              <w:t xml:space="preserve">Organisation de séances d'information et de sensibilisation à destination de ces ménages. </w:t>
            </w:r>
          </w:p>
        </w:tc>
        <w:tc>
          <w:tcPr>
            <w:tcW w:w="3402" w:type="dxa"/>
          </w:tcPr>
          <w:p w:rsidR="003A781A" w:rsidRPr="008779CD" w:rsidRDefault="003A781A" w:rsidP="0077675C">
            <w:pPr>
              <w:cnfStyle w:val="000000100000"/>
              <w:rPr>
                <w:rFonts w:ascii="Century Gothic" w:hAnsi="Century Gothic"/>
              </w:rPr>
            </w:pPr>
            <w:r w:rsidRPr="008779CD">
              <w:rPr>
                <w:rFonts w:ascii="Century Gothic" w:hAnsi="Century Gothic"/>
              </w:rPr>
              <w:t>CPAS/public précarisé</w:t>
            </w:r>
          </w:p>
        </w:tc>
      </w:tr>
      <w:tr w:rsidR="003A781A" w:rsidRPr="008779CD" w:rsidTr="003A781A">
        <w:tc>
          <w:tcPr>
            <w:cnfStyle w:val="001000000000"/>
            <w:tcW w:w="2518" w:type="dxa"/>
          </w:tcPr>
          <w:p w:rsidR="003A781A" w:rsidRPr="008779CD" w:rsidRDefault="003A781A" w:rsidP="005C28F8">
            <w:pPr>
              <w:rPr>
                <w:rFonts w:ascii="Century Gothic" w:hAnsi="Century Gothic"/>
              </w:rPr>
            </w:pPr>
            <w:r w:rsidRPr="008779CD">
              <w:rPr>
                <w:rFonts w:ascii="Century Gothic" w:hAnsi="Century Gothic"/>
              </w:rPr>
              <w:t>Subventions au secteur associatif</w:t>
            </w:r>
          </w:p>
        </w:tc>
        <w:tc>
          <w:tcPr>
            <w:tcW w:w="6946" w:type="dxa"/>
          </w:tcPr>
          <w:p w:rsidR="003A781A" w:rsidRPr="008779CD" w:rsidRDefault="003A781A" w:rsidP="003E6AF1">
            <w:pPr>
              <w:cnfStyle w:val="000000000000"/>
              <w:rPr>
                <w:rFonts w:ascii="Century Gothic" w:hAnsi="Century Gothic"/>
              </w:rPr>
            </w:pPr>
            <w:r w:rsidRPr="008779CD">
              <w:rPr>
                <w:rFonts w:ascii="Century Gothic" w:hAnsi="Century Gothic"/>
              </w:rPr>
              <w:t xml:space="preserve">Des subventions sont octroyées à diverses associations actives en matières de précarité énergétique afin de leur permettre de bénéficier de moyens humains et financier pour informer et représenter le public précarisé dans le cadre des difficultés rencontrées par ce public suite à l’ouverture des marchés du gaz et de l’électricité. </w:t>
            </w:r>
            <w:r w:rsidRPr="008779CD">
              <w:rPr>
                <w:rFonts w:ascii="Century Gothic" w:hAnsi="Century Gothic"/>
              </w:rPr>
              <w:tab/>
            </w:r>
          </w:p>
        </w:tc>
        <w:tc>
          <w:tcPr>
            <w:tcW w:w="3402" w:type="dxa"/>
          </w:tcPr>
          <w:p w:rsidR="003A781A" w:rsidRPr="008779CD" w:rsidRDefault="003A781A" w:rsidP="0077675C">
            <w:pPr>
              <w:cnfStyle w:val="000000000000"/>
              <w:rPr>
                <w:rFonts w:ascii="Century Gothic" w:hAnsi="Century Gothic"/>
              </w:rPr>
            </w:pPr>
            <w:r w:rsidRPr="008779CD">
              <w:rPr>
                <w:rFonts w:ascii="Century Gothic" w:hAnsi="Century Gothic"/>
              </w:rPr>
              <w:t>Secteur associatif public et privé ayant contact directement ou indirectement avec le public précarisé</w:t>
            </w:r>
          </w:p>
        </w:tc>
      </w:tr>
      <w:tr w:rsidR="003A781A" w:rsidRPr="008779CD" w:rsidTr="003A781A">
        <w:trPr>
          <w:cnfStyle w:val="000000100000"/>
        </w:trPr>
        <w:tc>
          <w:tcPr>
            <w:cnfStyle w:val="001000000000"/>
            <w:tcW w:w="2518" w:type="dxa"/>
          </w:tcPr>
          <w:p w:rsidR="003A781A" w:rsidRPr="008779CD" w:rsidRDefault="003A781A" w:rsidP="002A13DA">
            <w:pPr>
              <w:rPr>
                <w:rFonts w:ascii="Century Gothic" w:hAnsi="Century Gothic"/>
              </w:rPr>
            </w:pPr>
            <w:r w:rsidRPr="008779CD">
              <w:rPr>
                <w:rFonts w:ascii="Century Gothic" w:hAnsi="Century Gothic"/>
              </w:rPr>
              <w:t>Subsides MEBAR</w:t>
            </w:r>
          </w:p>
        </w:tc>
        <w:tc>
          <w:tcPr>
            <w:tcW w:w="6946" w:type="dxa"/>
          </w:tcPr>
          <w:p w:rsidR="003A781A" w:rsidRDefault="003A781A" w:rsidP="002A13DA">
            <w:pPr>
              <w:cnfStyle w:val="000000100000"/>
              <w:rPr>
                <w:rFonts w:ascii="Century Gothic" w:hAnsi="Century Gothic"/>
              </w:rPr>
            </w:pPr>
            <w:r w:rsidRPr="008779CD">
              <w:rPr>
                <w:rFonts w:ascii="Century Gothic" w:hAnsi="Century Gothic"/>
              </w:rPr>
              <w:t>L’opération MEBAR vise à aider les ménages à revenus modeste à réaliser des travaux dans leur logement afin de réduire leur consommation d’énergie.</w:t>
            </w:r>
          </w:p>
          <w:p w:rsidR="00056844" w:rsidRDefault="00056844" w:rsidP="002A13DA">
            <w:pPr>
              <w:cnfStyle w:val="000000100000"/>
              <w:rPr>
                <w:rFonts w:ascii="Century Gothic" w:hAnsi="Century Gothic"/>
              </w:rPr>
            </w:pPr>
          </w:p>
          <w:p w:rsidR="00056844" w:rsidRPr="008779CD" w:rsidRDefault="00056844" w:rsidP="002A13DA">
            <w:pPr>
              <w:cnfStyle w:val="000000100000"/>
              <w:rPr>
                <w:rFonts w:ascii="Century Gothic" w:hAnsi="Century Gothic"/>
              </w:rPr>
            </w:pPr>
          </w:p>
        </w:tc>
        <w:tc>
          <w:tcPr>
            <w:tcW w:w="3402" w:type="dxa"/>
          </w:tcPr>
          <w:p w:rsidR="003A781A" w:rsidRPr="008779CD" w:rsidRDefault="003A781A" w:rsidP="002A13DA">
            <w:pPr>
              <w:cnfStyle w:val="000000100000"/>
              <w:rPr>
                <w:rFonts w:ascii="Century Gothic" w:hAnsi="Century Gothic"/>
              </w:rPr>
            </w:pPr>
            <w:r w:rsidRPr="008779CD">
              <w:rPr>
                <w:rFonts w:ascii="Century Gothic" w:hAnsi="Century Gothic"/>
              </w:rPr>
              <w:t>Ménages à revenus modestes</w:t>
            </w:r>
          </w:p>
        </w:tc>
      </w:tr>
      <w:tr w:rsidR="003A781A" w:rsidRPr="008779CD" w:rsidTr="003A781A">
        <w:tc>
          <w:tcPr>
            <w:cnfStyle w:val="001000000000"/>
            <w:tcW w:w="2518" w:type="dxa"/>
          </w:tcPr>
          <w:p w:rsidR="003A781A" w:rsidRPr="008779CD" w:rsidRDefault="003A781A" w:rsidP="002A13DA">
            <w:pPr>
              <w:rPr>
                <w:rFonts w:ascii="Century Gothic" w:hAnsi="Century Gothic"/>
              </w:rPr>
            </w:pPr>
            <w:r w:rsidRPr="008779CD">
              <w:rPr>
                <w:rFonts w:ascii="Century Gothic" w:hAnsi="Century Gothic"/>
              </w:rPr>
              <w:lastRenderedPageBreak/>
              <w:t>Rationaliser les dispositifs d’accompagnement</w:t>
            </w:r>
          </w:p>
        </w:tc>
        <w:tc>
          <w:tcPr>
            <w:tcW w:w="6946" w:type="dxa"/>
          </w:tcPr>
          <w:p w:rsidR="003A781A" w:rsidRPr="008779CD" w:rsidRDefault="003A781A" w:rsidP="00185982">
            <w:pPr>
              <w:pStyle w:val="Corpsdetexte"/>
              <w:spacing w:after="0"/>
              <w:cnfStyle w:val="000000000000"/>
              <w:rPr>
                <w:rFonts w:ascii="Century Gothic" w:hAnsi="Century Gothic"/>
                <w:sz w:val="22"/>
                <w:szCs w:val="22"/>
                <w:lang w:val="fr-BE"/>
              </w:rPr>
            </w:pPr>
            <w:r w:rsidRPr="008779CD">
              <w:rPr>
                <w:rFonts w:ascii="Century Gothic" w:hAnsi="Century Gothic"/>
                <w:sz w:val="22"/>
                <w:szCs w:val="22"/>
                <w:lang w:val="fr-BE"/>
              </w:rPr>
              <w:t xml:space="preserve">Une étude a récemment été menée afin d’évaluer, tant quantitativement que qualitativement, les différents types d’accompagnement destinés aux publics précaires ou en risque de l’être. Cette étude préconise des pistes d’amélioration en vue de réformer les dispositifs d’accompagnement. Ces pistes </w:t>
            </w:r>
            <w:r w:rsidR="00185982">
              <w:rPr>
                <w:rFonts w:ascii="Century Gothic" w:hAnsi="Century Gothic"/>
                <w:sz w:val="22"/>
                <w:szCs w:val="22"/>
                <w:lang w:val="fr-BE"/>
              </w:rPr>
              <w:t>sont</w:t>
            </w:r>
            <w:r w:rsidRPr="008779CD">
              <w:rPr>
                <w:rFonts w:ascii="Century Gothic" w:hAnsi="Century Gothic"/>
                <w:sz w:val="22"/>
                <w:szCs w:val="22"/>
                <w:lang w:val="fr-BE"/>
              </w:rPr>
              <w:t xml:space="preserve"> </w:t>
            </w:r>
            <w:r w:rsidRPr="008779CD">
              <w:rPr>
                <w:rFonts w:ascii="Century Gothic" w:hAnsi="Century Gothic"/>
                <w:sz w:val="22"/>
                <w:szCs w:val="22"/>
                <w:lang w:val="fr-BE"/>
              </w:rPr>
              <w:t>analysée</w:t>
            </w:r>
            <w:r w:rsidR="00185982">
              <w:rPr>
                <w:rFonts w:ascii="Century Gothic" w:hAnsi="Century Gothic"/>
                <w:sz w:val="22"/>
                <w:szCs w:val="22"/>
                <w:lang w:val="fr-BE"/>
              </w:rPr>
              <w:t>s</w:t>
            </w:r>
            <w:r w:rsidRPr="008779CD">
              <w:rPr>
                <w:rFonts w:ascii="Century Gothic" w:hAnsi="Century Gothic"/>
                <w:sz w:val="22"/>
                <w:szCs w:val="22"/>
                <w:lang w:val="fr-BE"/>
              </w:rPr>
              <w:t xml:space="preserve"> et, </w:t>
            </w:r>
            <w:r w:rsidR="00185982">
              <w:rPr>
                <w:rFonts w:ascii="Century Gothic" w:hAnsi="Century Gothic"/>
                <w:sz w:val="22"/>
                <w:szCs w:val="22"/>
                <w:lang w:val="fr-BE"/>
              </w:rPr>
              <w:t>seront</w:t>
            </w:r>
            <w:r w:rsidRPr="008779CD">
              <w:rPr>
                <w:rFonts w:ascii="Century Gothic" w:hAnsi="Century Gothic"/>
                <w:sz w:val="22"/>
                <w:szCs w:val="22"/>
                <w:lang w:val="fr-BE"/>
              </w:rPr>
              <w:t xml:space="preserve"> mises en œuvre par l’administration et le </w:t>
            </w:r>
            <w:r w:rsidRPr="008779CD">
              <w:rPr>
                <w:rFonts w:ascii="Century Gothic" w:hAnsi="Century Gothic"/>
                <w:sz w:val="22"/>
                <w:szCs w:val="22"/>
                <w:lang w:val="fr-BE"/>
              </w:rPr>
              <w:t>Gouvernement</w:t>
            </w:r>
            <w:r w:rsidR="004155DE">
              <w:rPr>
                <w:rFonts w:ascii="Century Gothic" w:hAnsi="Century Gothic"/>
                <w:sz w:val="22"/>
                <w:szCs w:val="22"/>
                <w:lang w:val="fr-BE"/>
              </w:rPr>
              <w:t>.</w:t>
            </w:r>
          </w:p>
        </w:tc>
        <w:tc>
          <w:tcPr>
            <w:tcW w:w="3402" w:type="dxa"/>
          </w:tcPr>
          <w:p w:rsidR="003A781A" w:rsidRPr="008779CD" w:rsidRDefault="003A781A" w:rsidP="002A13DA">
            <w:pPr>
              <w:cnfStyle w:val="000000000000"/>
              <w:rPr>
                <w:rFonts w:ascii="Century Gothic" w:hAnsi="Century Gothic"/>
              </w:rPr>
            </w:pPr>
            <w:r w:rsidRPr="008779CD">
              <w:rPr>
                <w:rFonts w:ascii="Century Gothic" w:hAnsi="Century Gothic"/>
              </w:rPr>
              <w:t>Ménages à revenus modestes</w:t>
            </w:r>
          </w:p>
        </w:tc>
      </w:tr>
    </w:tbl>
    <w:p w:rsidR="002A13DA" w:rsidRDefault="002A13DA"/>
    <w:p w:rsidR="002A13DA" w:rsidRDefault="002A13DA"/>
    <w:p w:rsidR="002A13DA" w:rsidRPr="002A13DA" w:rsidRDefault="002A13DA">
      <w:pPr>
        <w:rPr>
          <w:rFonts w:ascii="Century Gothic" w:hAnsi="Century Gothic"/>
          <w:b/>
          <w:i/>
          <w:color w:val="1F497D" w:themeColor="text2"/>
        </w:rPr>
      </w:pPr>
      <w:r w:rsidRPr="002A13DA">
        <w:rPr>
          <w:rFonts w:ascii="Century Gothic" w:hAnsi="Century Gothic"/>
          <w:b/>
          <w:i/>
          <w:color w:val="1F497D" w:themeColor="text2"/>
        </w:rPr>
        <w:t>Liées à l’amélioration des réseaux</w:t>
      </w:r>
    </w:p>
    <w:tbl>
      <w:tblPr>
        <w:tblStyle w:val="Listeclaire-Accent1"/>
        <w:tblW w:w="12866" w:type="dxa"/>
        <w:tblLayout w:type="fixed"/>
        <w:tblLook w:val="04A0"/>
      </w:tblPr>
      <w:tblGrid>
        <w:gridCol w:w="2093"/>
        <w:gridCol w:w="7513"/>
        <w:gridCol w:w="3260"/>
      </w:tblGrid>
      <w:tr w:rsidR="003A781A" w:rsidRPr="008779CD" w:rsidTr="003A781A">
        <w:trPr>
          <w:cnfStyle w:val="100000000000"/>
        </w:trPr>
        <w:tc>
          <w:tcPr>
            <w:cnfStyle w:val="001000000000"/>
            <w:tcW w:w="2093" w:type="dxa"/>
          </w:tcPr>
          <w:p w:rsidR="003A781A" w:rsidRPr="002A13DA" w:rsidRDefault="003A781A" w:rsidP="002A13DA">
            <w:pPr>
              <w:rPr>
                <w:rFonts w:ascii="Century Gothic" w:hAnsi="Century Gothic"/>
              </w:rPr>
            </w:pPr>
            <w:r w:rsidRPr="002A13DA">
              <w:rPr>
                <w:rFonts w:ascii="Century Gothic" w:hAnsi="Century Gothic"/>
              </w:rPr>
              <w:t>Nom Mesure</w:t>
            </w:r>
          </w:p>
        </w:tc>
        <w:tc>
          <w:tcPr>
            <w:tcW w:w="7513" w:type="dxa"/>
          </w:tcPr>
          <w:p w:rsidR="003A781A" w:rsidRPr="002A13DA" w:rsidRDefault="003A781A" w:rsidP="002A13DA">
            <w:pPr>
              <w:cnfStyle w:val="100000000000"/>
              <w:rPr>
                <w:rFonts w:ascii="Century Gothic" w:hAnsi="Century Gothic"/>
              </w:rPr>
            </w:pPr>
            <w:r w:rsidRPr="002A13DA">
              <w:rPr>
                <w:rFonts w:ascii="Century Gothic" w:hAnsi="Century Gothic"/>
              </w:rPr>
              <w:t>Description de la mesure</w:t>
            </w:r>
          </w:p>
        </w:tc>
        <w:tc>
          <w:tcPr>
            <w:tcW w:w="3260" w:type="dxa"/>
          </w:tcPr>
          <w:p w:rsidR="003A781A" w:rsidRPr="002A13DA" w:rsidRDefault="003A781A" w:rsidP="002A13DA">
            <w:pPr>
              <w:cnfStyle w:val="100000000000"/>
              <w:rPr>
                <w:rFonts w:ascii="Century Gothic" w:hAnsi="Century Gothic"/>
              </w:rPr>
            </w:pPr>
            <w:r w:rsidRPr="002A13DA">
              <w:rPr>
                <w:rFonts w:ascii="Century Gothic" w:hAnsi="Century Gothic"/>
              </w:rPr>
              <w:t>Public /Secteur visé</w:t>
            </w:r>
          </w:p>
        </w:tc>
      </w:tr>
      <w:tr w:rsidR="003A781A" w:rsidRPr="008779CD" w:rsidTr="003A781A">
        <w:trPr>
          <w:cnfStyle w:val="000000100000"/>
        </w:trPr>
        <w:tc>
          <w:tcPr>
            <w:cnfStyle w:val="001000000000"/>
            <w:tcW w:w="2093" w:type="dxa"/>
          </w:tcPr>
          <w:p w:rsidR="003A781A" w:rsidRPr="008779CD" w:rsidRDefault="003A781A" w:rsidP="002A13DA">
            <w:pPr>
              <w:rPr>
                <w:rFonts w:ascii="Century Gothic" w:hAnsi="Century Gothic"/>
                <w:highlight w:val="yellow"/>
              </w:rPr>
            </w:pPr>
            <w:r w:rsidRPr="008779CD">
              <w:rPr>
                <w:rFonts w:ascii="Century Gothic" w:hAnsi="Century Gothic"/>
              </w:rPr>
              <w:t>GREDOR</w:t>
            </w:r>
          </w:p>
        </w:tc>
        <w:tc>
          <w:tcPr>
            <w:tcW w:w="7513" w:type="dxa"/>
          </w:tcPr>
          <w:p w:rsidR="003A781A" w:rsidRPr="008779CD" w:rsidRDefault="003A781A" w:rsidP="002A13DA">
            <w:pPr>
              <w:cnfStyle w:val="000000100000"/>
              <w:rPr>
                <w:rFonts w:ascii="Century Gothic" w:hAnsi="Century Gothic"/>
                <w:highlight w:val="yellow"/>
              </w:rPr>
            </w:pPr>
            <w:r w:rsidRPr="008779CD">
              <w:rPr>
                <w:rFonts w:ascii="Century Gothic" w:hAnsi="Century Gothic"/>
              </w:rPr>
              <w:t>Concevoir une chaîne de décision complète de gestion des réseaux électriques de distribution. En tenant compte des interactions entre toutes les parties prenantes, cette chaîne de décision choisit les investissements, continue avec le planning opérationnel et va jusqu’à la gestion journalière. Le but est d’optimiser les coûts globaux des réseaux pour favoriser l’intégration des sources d’énergie renouvelable qui sont sporadiques et dispersées.</w:t>
            </w:r>
          </w:p>
        </w:tc>
        <w:tc>
          <w:tcPr>
            <w:tcW w:w="3260" w:type="dxa"/>
          </w:tcPr>
          <w:p w:rsidR="003A781A" w:rsidRPr="008779CD" w:rsidRDefault="003A781A" w:rsidP="002A13DA">
            <w:pPr>
              <w:cnfStyle w:val="000000100000"/>
              <w:rPr>
                <w:rFonts w:ascii="Century Gothic" w:hAnsi="Century Gothic"/>
              </w:rPr>
            </w:pPr>
            <w:r w:rsidRPr="008779CD">
              <w:rPr>
                <w:rFonts w:ascii="Century Gothic" w:hAnsi="Century Gothic"/>
              </w:rPr>
              <w:t>GRD,</w:t>
            </w:r>
          </w:p>
          <w:p w:rsidR="003A781A" w:rsidRPr="008779CD" w:rsidRDefault="003A781A" w:rsidP="002A13DA">
            <w:pPr>
              <w:cnfStyle w:val="000000100000"/>
              <w:rPr>
                <w:rFonts w:ascii="Century Gothic" w:hAnsi="Century Gothic"/>
                <w:highlight w:val="yellow"/>
              </w:rPr>
            </w:pPr>
            <w:r w:rsidRPr="008779CD">
              <w:rPr>
                <w:rFonts w:ascii="Century Gothic" w:hAnsi="Century Gothic"/>
              </w:rPr>
              <w:t>producteurs, fournisseurs, opérateurs de marché</w:t>
            </w:r>
          </w:p>
        </w:tc>
      </w:tr>
      <w:tr w:rsidR="003A781A" w:rsidRPr="008779CD" w:rsidTr="003A781A">
        <w:tc>
          <w:tcPr>
            <w:cnfStyle w:val="001000000000"/>
            <w:tcW w:w="2093" w:type="dxa"/>
          </w:tcPr>
          <w:p w:rsidR="003A781A" w:rsidRPr="008779CD" w:rsidRDefault="003A781A" w:rsidP="00A73B9C">
            <w:pPr>
              <w:rPr>
                <w:rFonts w:ascii="Century Gothic" w:hAnsi="Century Gothic"/>
              </w:rPr>
            </w:pPr>
            <w:r>
              <w:rPr>
                <w:rFonts w:ascii="Century Gothic" w:hAnsi="Century Gothic"/>
              </w:rPr>
              <w:t xml:space="preserve">Etude sur le déploiement des compteurs </w:t>
            </w:r>
            <w:r w:rsidR="00A73B9C">
              <w:rPr>
                <w:rFonts w:ascii="Century Gothic" w:hAnsi="Century Gothic"/>
              </w:rPr>
              <w:t xml:space="preserve">communicants </w:t>
            </w:r>
            <w:r>
              <w:rPr>
                <w:rFonts w:ascii="Century Gothic" w:hAnsi="Century Gothic"/>
              </w:rPr>
              <w:t>(</w:t>
            </w:r>
            <w:proofErr w:type="spellStart"/>
            <w:r>
              <w:rPr>
                <w:rFonts w:ascii="Century Gothic" w:hAnsi="Century Gothic"/>
              </w:rPr>
              <w:t>CWaPE</w:t>
            </w:r>
            <w:proofErr w:type="spellEnd"/>
            <w:r>
              <w:rPr>
                <w:rFonts w:ascii="Century Gothic" w:hAnsi="Century Gothic"/>
              </w:rPr>
              <w:t>)</w:t>
            </w:r>
          </w:p>
        </w:tc>
        <w:tc>
          <w:tcPr>
            <w:tcW w:w="7513" w:type="dxa"/>
          </w:tcPr>
          <w:p w:rsidR="003A781A" w:rsidRDefault="003A781A" w:rsidP="002A13DA">
            <w:pPr>
              <w:pStyle w:val="Commentaire"/>
              <w:spacing w:after="120"/>
              <w:jc w:val="both"/>
              <w:cnfStyle w:val="000000000000"/>
              <w:rPr>
                <w:rFonts w:ascii="Century Gothic" w:hAnsi="Century Gothic" w:cs="Tahoma"/>
                <w:sz w:val="22"/>
                <w:szCs w:val="22"/>
              </w:rPr>
            </w:pPr>
            <w:r>
              <w:rPr>
                <w:rFonts w:ascii="Century Gothic" w:hAnsi="Century Gothic" w:cs="Tahoma"/>
                <w:sz w:val="22"/>
                <w:szCs w:val="22"/>
              </w:rPr>
              <w:t xml:space="preserve">Actualisation, par la CWaPE, de l’étude sur le déploiement des </w:t>
            </w:r>
            <w:r>
              <w:rPr>
                <w:rFonts w:ascii="Century Gothic" w:hAnsi="Century Gothic" w:cs="Tahoma"/>
                <w:sz w:val="22"/>
                <w:szCs w:val="22"/>
              </w:rPr>
              <w:t xml:space="preserve">compteurs </w:t>
            </w:r>
            <w:r w:rsidR="00A73B9C">
              <w:rPr>
                <w:rFonts w:ascii="Century Gothic" w:hAnsi="Century Gothic" w:cs="Tahoma"/>
                <w:sz w:val="22"/>
                <w:szCs w:val="22"/>
              </w:rPr>
              <w:t xml:space="preserve">communicants </w:t>
            </w:r>
            <w:r>
              <w:rPr>
                <w:rFonts w:ascii="Century Gothic" w:hAnsi="Century Gothic" w:cs="Tahoma"/>
                <w:sz w:val="22"/>
                <w:szCs w:val="22"/>
              </w:rPr>
              <w:t>en Wallonie et l’analyse coût-bénéfice (Résultats attendus pour juin 2017</w:t>
            </w:r>
            <w:r>
              <w:rPr>
                <w:rFonts w:ascii="Century Gothic" w:hAnsi="Century Gothic" w:cs="Tahoma"/>
                <w:sz w:val="22"/>
                <w:szCs w:val="22"/>
              </w:rPr>
              <w:t>)</w:t>
            </w:r>
          </w:p>
          <w:p w:rsidR="003A781A" w:rsidRPr="008779CD" w:rsidRDefault="003A781A" w:rsidP="000906D7">
            <w:pPr>
              <w:pStyle w:val="Commentaire"/>
              <w:spacing w:after="120"/>
              <w:jc w:val="both"/>
              <w:cnfStyle w:val="000000000000"/>
              <w:rPr>
                <w:rFonts w:ascii="Century Gothic" w:hAnsi="Century Gothic"/>
              </w:rPr>
            </w:pPr>
          </w:p>
        </w:tc>
        <w:tc>
          <w:tcPr>
            <w:tcW w:w="3260" w:type="dxa"/>
          </w:tcPr>
          <w:p w:rsidR="003A781A" w:rsidRPr="008779CD" w:rsidRDefault="003A781A" w:rsidP="002A13DA">
            <w:pPr>
              <w:cnfStyle w:val="000000000000"/>
              <w:rPr>
                <w:rFonts w:ascii="Century Gothic" w:hAnsi="Century Gothic"/>
              </w:rPr>
            </w:pPr>
            <w:r>
              <w:rPr>
                <w:rFonts w:ascii="Century Gothic" w:hAnsi="Century Gothic"/>
              </w:rPr>
              <w:t xml:space="preserve">  GW</w:t>
            </w:r>
          </w:p>
        </w:tc>
      </w:tr>
    </w:tbl>
    <w:p w:rsidR="002A13DA" w:rsidRDefault="002A13DA"/>
    <w:p w:rsidR="002A13DA" w:rsidRDefault="002A13DA"/>
    <w:p w:rsidR="002E09D4" w:rsidRDefault="002E09D4"/>
    <w:p w:rsidR="000906D7" w:rsidRDefault="000906D7"/>
    <w:p w:rsidR="00A52771" w:rsidRPr="008779CD" w:rsidRDefault="00A52771" w:rsidP="00A73490">
      <w:pPr>
        <w:rPr>
          <w:rFonts w:ascii="Century Gothic" w:hAnsi="Century Gothic"/>
        </w:rPr>
      </w:pPr>
    </w:p>
    <w:p w:rsidR="008D4D77" w:rsidRPr="000C4E04" w:rsidRDefault="000C4E04" w:rsidP="000C4E04">
      <w:pPr>
        <w:pStyle w:val="Paragraphedeliste"/>
        <w:numPr>
          <w:ilvl w:val="0"/>
          <w:numId w:val="27"/>
        </w:numPr>
        <w:rPr>
          <w:rFonts w:ascii="Century Gothic" w:hAnsi="Century Gothic"/>
          <w:b/>
          <w:i/>
          <w:color w:val="1F497D" w:themeColor="text2"/>
          <w:u w:val="single"/>
        </w:rPr>
      </w:pPr>
      <w:proofErr w:type="spellStart"/>
      <w:r w:rsidRPr="000C4E04">
        <w:rPr>
          <w:rFonts w:ascii="Century Gothic" w:hAnsi="Century Gothic"/>
          <w:b/>
          <w:i/>
          <w:color w:val="1F497D" w:themeColor="text2"/>
          <w:u w:val="single"/>
        </w:rPr>
        <w:t>Mesures</w:t>
      </w:r>
      <w:proofErr w:type="spellEnd"/>
      <w:r w:rsidRPr="000C4E04">
        <w:rPr>
          <w:rFonts w:ascii="Century Gothic" w:hAnsi="Century Gothic"/>
          <w:b/>
          <w:i/>
          <w:color w:val="1F497D" w:themeColor="text2"/>
          <w:u w:val="single"/>
        </w:rPr>
        <w:t xml:space="preserve"> d</w:t>
      </w:r>
      <w:r w:rsidR="00A45C91" w:rsidRPr="000C4E04">
        <w:rPr>
          <w:rFonts w:ascii="Century Gothic" w:hAnsi="Century Gothic"/>
          <w:b/>
          <w:i/>
          <w:color w:val="1F497D" w:themeColor="text2"/>
          <w:u w:val="single"/>
        </w:rPr>
        <w:t xml:space="preserve">e type </w:t>
      </w:r>
      <w:proofErr w:type="spellStart"/>
      <w:r w:rsidR="007A2DEA" w:rsidRPr="000C4E04">
        <w:rPr>
          <w:rFonts w:ascii="Century Gothic" w:hAnsi="Century Gothic"/>
          <w:b/>
          <w:i/>
          <w:color w:val="1F497D" w:themeColor="text2"/>
          <w:u w:val="single"/>
        </w:rPr>
        <w:t>sensibilisation</w:t>
      </w:r>
      <w:proofErr w:type="spellEnd"/>
    </w:p>
    <w:tbl>
      <w:tblPr>
        <w:tblStyle w:val="Listeclaire-Accent1"/>
        <w:tblW w:w="12582" w:type="dxa"/>
        <w:tblLook w:val="04A0"/>
      </w:tblPr>
      <w:tblGrid>
        <w:gridCol w:w="1930"/>
        <w:gridCol w:w="7817"/>
        <w:gridCol w:w="2835"/>
      </w:tblGrid>
      <w:tr w:rsidR="003A781A" w:rsidRPr="008779CD" w:rsidTr="003A781A">
        <w:trPr>
          <w:cnfStyle w:val="100000000000"/>
          <w:tblHeader/>
        </w:trPr>
        <w:tc>
          <w:tcPr>
            <w:cnfStyle w:val="001000000000"/>
            <w:tcW w:w="1930" w:type="dxa"/>
          </w:tcPr>
          <w:p w:rsidR="003A781A" w:rsidRPr="000C4E04" w:rsidRDefault="003A781A" w:rsidP="0077675C">
            <w:pPr>
              <w:rPr>
                <w:rFonts w:ascii="Century Gothic" w:hAnsi="Century Gothic"/>
              </w:rPr>
            </w:pPr>
            <w:r w:rsidRPr="000C4E04">
              <w:rPr>
                <w:rFonts w:ascii="Century Gothic" w:hAnsi="Century Gothic"/>
              </w:rPr>
              <w:t>Nom Mesure</w:t>
            </w:r>
          </w:p>
        </w:tc>
        <w:tc>
          <w:tcPr>
            <w:tcW w:w="7817" w:type="dxa"/>
          </w:tcPr>
          <w:p w:rsidR="003A781A" w:rsidRPr="000C4E04" w:rsidRDefault="003A781A" w:rsidP="0077675C">
            <w:pPr>
              <w:cnfStyle w:val="100000000000"/>
              <w:rPr>
                <w:rFonts w:ascii="Century Gothic" w:hAnsi="Century Gothic"/>
              </w:rPr>
            </w:pPr>
            <w:r w:rsidRPr="000C4E04">
              <w:rPr>
                <w:rFonts w:ascii="Century Gothic" w:hAnsi="Century Gothic"/>
              </w:rPr>
              <w:t>Description de la mesure</w:t>
            </w:r>
          </w:p>
        </w:tc>
        <w:tc>
          <w:tcPr>
            <w:tcW w:w="2835" w:type="dxa"/>
          </w:tcPr>
          <w:p w:rsidR="003A781A" w:rsidRPr="000C4E04" w:rsidRDefault="003A781A" w:rsidP="0077675C">
            <w:pPr>
              <w:cnfStyle w:val="100000000000"/>
              <w:rPr>
                <w:rFonts w:ascii="Century Gothic" w:hAnsi="Century Gothic"/>
              </w:rPr>
            </w:pPr>
            <w:r w:rsidRPr="000C4E04">
              <w:rPr>
                <w:rFonts w:ascii="Century Gothic" w:hAnsi="Century Gothic"/>
              </w:rPr>
              <w:t>Public /Secteur visé</w:t>
            </w:r>
          </w:p>
        </w:tc>
      </w:tr>
      <w:tr w:rsidR="003A781A" w:rsidRPr="008779CD" w:rsidTr="003A781A">
        <w:trPr>
          <w:cnfStyle w:val="000000100000"/>
        </w:trPr>
        <w:tc>
          <w:tcPr>
            <w:cnfStyle w:val="001000000000"/>
            <w:tcW w:w="1930" w:type="dxa"/>
          </w:tcPr>
          <w:p w:rsidR="003A781A" w:rsidRPr="008779CD" w:rsidRDefault="003A781A" w:rsidP="00B417EE">
            <w:pPr>
              <w:rPr>
                <w:rFonts w:ascii="Century Gothic" w:hAnsi="Century Gothic"/>
              </w:rPr>
            </w:pPr>
            <w:r w:rsidRPr="008779CD">
              <w:rPr>
                <w:rFonts w:ascii="Century Gothic" w:hAnsi="Century Gothic"/>
              </w:rPr>
              <w:t xml:space="preserve">Capsule d’information (« G1 un plan » : factures, simulateur) </w:t>
            </w:r>
          </w:p>
        </w:tc>
        <w:tc>
          <w:tcPr>
            <w:tcW w:w="7817" w:type="dxa"/>
          </w:tcPr>
          <w:p w:rsidR="003A781A" w:rsidRPr="008779CD" w:rsidRDefault="003A781A" w:rsidP="00B417EE">
            <w:pPr>
              <w:cnfStyle w:val="000000100000"/>
              <w:rPr>
                <w:rFonts w:ascii="Century Gothic" w:hAnsi="Century Gothic"/>
              </w:rPr>
            </w:pPr>
            <w:r w:rsidRPr="008779CD">
              <w:rPr>
                <w:rFonts w:ascii="Century Gothic" w:hAnsi="Century Gothic"/>
              </w:rPr>
              <w:t xml:space="preserve">Le SPW subsidie des séquences vidéo pour informer et inciter les citoyens à réduire leurs consommations et leurs factures énergétiques. Certaines capsules incite à consulter le simulateur tarifaire des la </w:t>
            </w:r>
            <w:proofErr w:type="spellStart"/>
            <w:r w:rsidRPr="008779CD">
              <w:rPr>
                <w:rFonts w:ascii="Century Gothic" w:hAnsi="Century Gothic"/>
              </w:rPr>
              <w:t>CWaPE</w:t>
            </w:r>
            <w:proofErr w:type="spellEnd"/>
            <w:r w:rsidRPr="008779CD">
              <w:rPr>
                <w:rFonts w:ascii="Century Gothic" w:hAnsi="Century Gothic"/>
              </w:rPr>
              <w:t xml:space="preserve"> et éventuellement à changer de fournisseurs.</w:t>
            </w:r>
          </w:p>
        </w:tc>
        <w:tc>
          <w:tcPr>
            <w:tcW w:w="2835" w:type="dxa"/>
          </w:tcPr>
          <w:p w:rsidR="003A781A" w:rsidRPr="008779CD" w:rsidRDefault="003A781A" w:rsidP="0077675C">
            <w:pPr>
              <w:cnfStyle w:val="000000100000"/>
              <w:rPr>
                <w:rFonts w:ascii="Century Gothic" w:hAnsi="Century Gothic"/>
              </w:rPr>
            </w:pPr>
            <w:r w:rsidRPr="008779CD">
              <w:rPr>
                <w:rFonts w:ascii="Century Gothic" w:hAnsi="Century Gothic"/>
              </w:rPr>
              <w:t>Citoyens</w:t>
            </w:r>
          </w:p>
        </w:tc>
      </w:tr>
      <w:tr w:rsidR="003A781A" w:rsidRPr="008779CD" w:rsidTr="003A781A">
        <w:tc>
          <w:tcPr>
            <w:cnfStyle w:val="001000000000"/>
            <w:tcW w:w="1930" w:type="dxa"/>
          </w:tcPr>
          <w:p w:rsidR="003A781A" w:rsidRPr="008779CD" w:rsidRDefault="003A781A" w:rsidP="0077675C">
            <w:pPr>
              <w:rPr>
                <w:rFonts w:ascii="Century Gothic" w:hAnsi="Century Gothic"/>
              </w:rPr>
            </w:pPr>
            <w:r w:rsidRPr="008779CD">
              <w:rPr>
                <w:rFonts w:ascii="Century Gothic" w:hAnsi="Century Gothic"/>
              </w:rPr>
              <w:t>Facilitateurs</w:t>
            </w:r>
            <w:r>
              <w:rPr>
                <w:rFonts w:ascii="Century Gothic" w:hAnsi="Century Gothic"/>
              </w:rPr>
              <w:t>/ Conseillers Energie</w:t>
            </w:r>
          </w:p>
        </w:tc>
        <w:tc>
          <w:tcPr>
            <w:tcW w:w="7817" w:type="dxa"/>
          </w:tcPr>
          <w:p w:rsidR="003A781A" w:rsidRPr="008779CD" w:rsidRDefault="003A781A" w:rsidP="00A72848">
            <w:pPr>
              <w:cnfStyle w:val="000000000000"/>
              <w:rPr>
                <w:rFonts w:ascii="Century Gothic" w:hAnsi="Century Gothic"/>
              </w:rPr>
            </w:pPr>
            <w:r w:rsidRPr="008779CD">
              <w:rPr>
                <w:rFonts w:ascii="Century Gothic" w:hAnsi="Century Gothic"/>
              </w:rPr>
              <w:t>Le SPW subsidie des facilitateurs</w:t>
            </w:r>
            <w:r>
              <w:rPr>
                <w:rFonts w:ascii="Century Gothic" w:hAnsi="Century Gothic"/>
              </w:rPr>
              <w:t xml:space="preserve"> et conseillers, qui</w:t>
            </w:r>
            <w:r w:rsidRPr="008779CD">
              <w:rPr>
                <w:rFonts w:ascii="Century Gothic" w:hAnsi="Century Gothic"/>
              </w:rPr>
              <w:t xml:space="preserve"> ont pour mission d’informer, </w:t>
            </w:r>
            <w:r>
              <w:rPr>
                <w:rFonts w:ascii="Century Gothic" w:hAnsi="Century Gothic"/>
              </w:rPr>
              <w:t>de guider, accompagner</w:t>
            </w:r>
            <w:r w:rsidRPr="008779CD">
              <w:rPr>
                <w:rFonts w:ascii="Century Gothic" w:hAnsi="Century Gothic"/>
              </w:rPr>
              <w:t xml:space="preserve"> et sensibiliser les acteurs du secteur.</w:t>
            </w:r>
          </w:p>
        </w:tc>
        <w:tc>
          <w:tcPr>
            <w:tcW w:w="2835" w:type="dxa"/>
          </w:tcPr>
          <w:p w:rsidR="003A781A" w:rsidRPr="008779CD" w:rsidRDefault="003A781A" w:rsidP="0077675C">
            <w:pPr>
              <w:cnfStyle w:val="000000000000"/>
              <w:rPr>
                <w:rFonts w:ascii="Century Gothic" w:hAnsi="Century Gothic"/>
              </w:rPr>
            </w:pPr>
            <w:r>
              <w:rPr>
                <w:rFonts w:ascii="Century Gothic" w:hAnsi="Century Gothic"/>
              </w:rPr>
              <w:t>Tout public</w:t>
            </w:r>
          </w:p>
        </w:tc>
      </w:tr>
      <w:tr w:rsidR="003A781A" w:rsidRPr="008779CD" w:rsidTr="003A781A">
        <w:trPr>
          <w:cnfStyle w:val="000000100000"/>
        </w:trPr>
        <w:tc>
          <w:tcPr>
            <w:cnfStyle w:val="001000000000"/>
            <w:tcW w:w="1930" w:type="dxa"/>
          </w:tcPr>
          <w:p w:rsidR="003A781A" w:rsidRPr="008779CD" w:rsidRDefault="003A781A" w:rsidP="001252A9">
            <w:pPr>
              <w:rPr>
                <w:rFonts w:ascii="Century Gothic" w:hAnsi="Century Gothic"/>
              </w:rPr>
            </w:pPr>
            <w:r w:rsidRPr="008779CD">
              <w:rPr>
                <w:rFonts w:ascii="Century Gothic" w:hAnsi="Century Gothic"/>
              </w:rPr>
              <w:t>Simulateur tarifaire</w:t>
            </w:r>
          </w:p>
        </w:tc>
        <w:tc>
          <w:tcPr>
            <w:tcW w:w="7817" w:type="dxa"/>
          </w:tcPr>
          <w:p w:rsidR="003A781A" w:rsidRPr="008779CD" w:rsidRDefault="003A781A" w:rsidP="001252A9">
            <w:pPr>
              <w:cnfStyle w:val="000000100000"/>
              <w:rPr>
                <w:rFonts w:ascii="Century Gothic" w:hAnsi="Century Gothic"/>
              </w:rPr>
            </w:pPr>
            <w:r w:rsidRPr="008779CD">
              <w:rPr>
                <w:rFonts w:ascii="Century Gothic" w:hAnsi="Century Gothic"/>
              </w:rPr>
              <w:t xml:space="preserve">La CWaPE a mis en ligne un simulateur tarifaire permettant aux citoyens de comparer l’ensemble des offres proposées par les fournisseurs d’électricité et de gaz en Région wallonne. </w:t>
            </w:r>
          </w:p>
        </w:tc>
        <w:tc>
          <w:tcPr>
            <w:tcW w:w="2835" w:type="dxa"/>
          </w:tcPr>
          <w:p w:rsidR="003A781A" w:rsidRPr="008779CD" w:rsidRDefault="003A781A" w:rsidP="001252A9">
            <w:pPr>
              <w:cnfStyle w:val="000000100000"/>
              <w:rPr>
                <w:rFonts w:ascii="Century Gothic" w:hAnsi="Century Gothic"/>
              </w:rPr>
            </w:pPr>
            <w:r w:rsidRPr="008779CD">
              <w:rPr>
                <w:rFonts w:ascii="Century Gothic" w:hAnsi="Century Gothic"/>
              </w:rPr>
              <w:t>Citoyens</w:t>
            </w:r>
          </w:p>
        </w:tc>
      </w:tr>
    </w:tbl>
    <w:p w:rsidR="000C4E04" w:rsidRDefault="000C4E04" w:rsidP="00A73490">
      <w:pPr>
        <w:rPr>
          <w:rFonts w:ascii="Century Gothic" w:hAnsi="Century Gothic"/>
        </w:rPr>
      </w:pPr>
    </w:p>
    <w:p w:rsidR="00B346EE" w:rsidRDefault="000C4E04">
      <w:pPr>
        <w:rPr>
          <w:rFonts w:ascii="Century Gothic" w:hAnsi="Century Gothic"/>
        </w:rPr>
        <w:sectPr w:rsidR="00B346EE" w:rsidSect="00E83647">
          <w:footerReference w:type="default" r:id="rId11"/>
          <w:pgSz w:w="16838" w:h="11906" w:orient="landscape"/>
          <w:pgMar w:top="1417" w:right="1417" w:bottom="1274" w:left="1417" w:header="708" w:footer="708" w:gutter="0"/>
          <w:cols w:space="708"/>
          <w:docGrid w:linePitch="360"/>
        </w:sectPr>
      </w:pPr>
      <w:r>
        <w:rPr>
          <w:rFonts w:ascii="Century Gothic" w:hAnsi="Century Gothic"/>
        </w:rPr>
        <w:br w:type="page"/>
      </w:r>
    </w:p>
    <w:p w:rsidR="000C4E04" w:rsidRDefault="000C4E04">
      <w:pPr>
        <w:rPr>
          <w:rFonts w:ascii="Century Gothic" w:hAnsi="Century Gothic"/>
        </w:rPr>
      </w:pPr>
    </w:p>
    <w:p w:rsidR="007A2DEA" w:rsidRPr="008779CD" w:rsidRDefault="007A2DEA" w:rsidP="00A73490">
      <w:pPr>
        <w:rPr>
          <w:rFonts w:ascii="Century Gothic" w:hAnsi="Century Gothic"/>
        </w:rPr>
      </w:pPr>
    </w:p>
    <w:p w:rsidR="00F16C65" w:rsidRPr="003356F3" w:rsidRDefault="00227C99" w:rsidP="003356F3">
      <w:pPr>
        <w:pStyle w:val="Titre2"/>
        <w:numPr>
          <w:ilvl w:val="1"/>
          <w:numId w:val="25"/>
        </w:numPr>
      </w:pPr>
      <w:bookmarkStart w:id="6" w:name="_Toc475442018"/>
      <w:r>
        <w:t>Quelques c</w:t>
      </w:r>
      <w:r w:rsidR="00F16C65" w:rsidRPr="003356F3">
        <w:t>hiffres clés</w:t>
      </w:r>
      <w:r>
        <w:t>…</w:t>
      </w:r>
      <w:bookmarkEnd w:id="6"/>
    </w:p>
    <w:p w:rsidR="00B41B06" w:rsidRPr="008779CD" w:rsidRDefault="00B41B06" w:rsidP="00A73490">
      <w:pPr>
        <w:rPr>
          <w:rFonts w:ascii="Century Gothic" w:hAnsi="Century Gothic"/>
          <w:b/>
        </w:rPr>
      </w:pPr>
    </w:p>
    <w:p w:rsidR="00DC5EB3" w:rsidRPr="00227C99" w:rsidRDefault="00DC5EB3" w:rsidP="00A73490">
      <w:pPr>
        <w:rPr>
          <w:rFonts w:ascii="Century Gothic" w:hAnsi="Century Gothic"/>
          <w:b/>
          <w:u w:val="single"/>
        </w:rPr>
      </w:pPr>
      <w:r w:rsidRPr="00227C99">
        <w:rPr>
          <w:rFonts w:ascii="Century Gothic" w:hAnsi="Century Gothic"/>
          <w:b/>
          <w:u w:val="single"/>
        </w:rPr>
        <w:t>Electricité</w:t>
      </w:r>
    </w:p>
    <w:tbl>
      <w:tblPr>
        <w:tblStyle w:val="Grilleclaire-Accent1"/>
        <w:tblW w:w="0" w:type="auto"/>
        <w:tblLook w:val="04A0"/>
      </w:tblPr>
      <w:tblGrid>
        <w:gridCol w:w="1535"/>
        <w:gridCol w:w="1535"/>
        <w:gridCol w:w="3071"/>
        <w:gridCol w:w="3071"/>
      </w:tblGrid>
      <w:tr w:rsidR="00DC5EB3" w:rsidRPr="008779CD" w:rsidTr="00565470">
        <w:trPr>
          <w:cnfStyle w:val="100000000000"/>
        </w:trPr>
        <w:tc>
          <w:tcPr>
            <w:cnfStyle w:val="001000000000"/>
            <w:tcW w:w="3070" w:type="dxa"/>
            <w:gridSpan w:val="2"/>
          </w:tcPr>
          <w:p w:rsidR="00DC5EB3" w:rsidRPr="008779CD" w:rsidRDefault="00565470" w:rsidP="00DC5EB3">
            <w:pPr>
              <w:jc w:val="center"/>
              <w:rPr>
                <w:rFonts w:ascii="Century Gothic" w:hAnsi="Century Gothic"/>
              </w:rPr>
            </w:pPr>
            <w:r>
              <w:rPr>
                <w:rFonts w:ascii="Century Gothic" w:hAnsi="Century Gothic"/>
              </w:rPr>
              <w:t>Indicateurs</w:t>
            </w:r>
          </w:p>
        </w:tc>
        <w:tc>
          <w:tcPr>
            <w:tcW w:w="3071" w:type="dxa"/>
          </w:tcPr>
          <w:p w:rsidR="00DC5EB3" w:rsidRPr="008779CD" w:rsidRDefault="00DC5EB3" w:rsidP="00DC5EB3">
            <w:pPr>
              <w:jc w:val="center"/>
              <w:cnfStyle w:val="100000000000"/>
              <w:rPr>
                <w:rFonts w:ascii="Century Gothic" w:hAnsi="Century Gothic"/>
              </w:rPr>
            </w:pPr>
            <w:r w:rsidRPr="008779CD">
              <w:rPr>
                <w:rFonts w:ascii="Century Gothic" w:hAnsi="Century Gothic"/>
              </w:rPr>
              <w:t>2014</w:t>
            </w:r>
          </w:p>
        </w:tc>
        <w:tc>
          <w:tcPr>
            <w:tcW w:w="3071" w:type="dxa"/>
          </w:tcPr>
          <w:p w:rsidR="00DC5EB3" w:rsidRPr="008779CD" w:rsidRDefault="00DC5EB3" w:rsidP="00DC5EB3">
            <w:pPr>
              <w:jc w:val="center"/>
              <w:cnfStyle w:val="100000000000"/>
              <w:rPr>
                <w:rFonts w:ascii="Century Gothic" w:hAnsi="Century Gothic"/>
              </w:rPr>
            </w:pPr>
            <w:r w:rsidRPr="008779CD">
              <w:rPr>
                <w:rFonts w:ascii="Century Gothic" w:hAnsi="Century Gothic"/>
              </w:rPr>
              <w:t>2015</w:t>
            </w:r>
          </w:p>
        </w:tc>
      </w:tr>
      <w:tr w:rsidR="00DC5EB3" w:rsidRPr="008779CD" w:rsidTr="00565470">
        <w:trPr>
          <w:cnfStyle w:val="000000100000"/>
        </w:trPr>
        <w:tc>
          <w:tcPr>
            <w:cnfStyle w:val="001000000000"/>
            <w:tcW w:w="3070" w:type="dxa"/>
            <w:gridSpan w:val="2"/>
          </w:tcPr>
          <w:p w:rsidR="00DC5EB3" w:rsidRPr="008779CD" w:rsidRDefault="00DC5EB3" w:rsidP="00A73490">
            <w:pPr>
              <w:rPr>
                <w:rFonts w:ascii="Century Gothic" w:hAnsi="Century Gothic"/>
              </w:rPr>
            </w:pPr>
            <w:r w:rsidRPr="008779CD">
              <w:rPr>
                <w:rFonts w:ascii="Century Gothic" w:hAnsi="Century Gothic"/>
              </w:rPr>
              <w:t>Taux de changement de fournisseurs</w:t>
            </w:r>
          </w:p>
        </w:tc>
        <w:tc>
          <w:tcPr>
            <w:tcW w:w="3071" w:type="dxa"/>
          </w:tcPr>
          <w:p w:rsidR="00DC5EB3" w:rsidRPr="008779CD" w:rsidRDefault="00DC5EB3" w:rsidP="00DC5EB3">
            <w:pPr>
              <w:jc w:val="center"/>
              <w:cnfStyle w:val="000000100000"/>
              <w:rPr>
                <w:rFonts w:ascii="Century Gothic" w:hAnsi="Century Gothic"/>
              </w:rPr>
            </w:pPr>
            <w:r w:rsidRPr="008779CD">
              <w:rPr>
                <w:rFonts w:ascii="Century Gothic" w:hAnsi="Century Gothic"/>
              </w:rPr>
              <w:t>12,7%</w:t>
            </w:r>
          </w:p>
        </w:tc>
        <w:tc>
          <w:tcPr>
            <w:tcW w:w="3071" w:type="dxa"/>
          </w:tcPr>
          <w:p w:rsidR="00DC5EB3" w:rsidRPr="008779CD" w:rsidRDefault="00DC5EB3" w:rsidP="00DC5EB3">
            <w:pPr>
              <w:jc w:val="center"/>
              <w:cnfStyle w:val="000000100000"/>
              <w:rPr>
                <w:rFonts w:ascii="Century Gothic" w:hAnsi="Century Gothic"/>
              </w:rPr>
            </w:pPr>
            <w:r w:rsidRPr="008779CD">
              <w:rPr>
                <w:rFonts w:ascii="Century Gothic" w:hAnsi="Century Gothic"/>
              </w:rPr>
              <w:t>14,5%</w:t>
            </w:r>
          </w:p>
        </w:tc>
      </w:tr>
      <w:tr w:rsidR="00DC5EB3" w:rsidRPr="008779CD" w:rsidTr="00565470">
        <w:trPr>
          <w:cnfStyle w:val="000000010000"/>
        </w:trPr>
        <w:tc>
          <w:tcPr>
            <w:cnfStyle w:val="001000000000"/>
            <w:tcW w:w="3070" w:type="dxa"/>
            <w:gridSpan w:val="2"/>
          </w:tcPr>
          <w:p w:rsidR="00DC5EB3" w:rsidRPr="008779CD" w:rsidRDefault="00DC5EB3" w:rsidP="00A73490">
            <w:pPr>
              <w:rPr>
                <w:rFonts w:ascii="Century Gothic" w:hAnsi="Century Gothic"/>
              </w:rPr>
            </w:pPr>
            <w:r w:rsidRPr="008779CD">
              <w:rPr>
                <w:rFonts w:ascii="Century Gothic" w:hAnsi="Century Gothic"/>
              </w:rPr>
              <w:t>Fournisseurs actifs</w:t>
            </w:r>
          </w:p>
        </w:tc>
        <w:tc>
          <w:tcPr>
            <w:tcW w:w="3071" w:type="dxa"/>
          </w:tcPr>
          <w:p w:rsidR="00DC5EB3" w:rsidRPr="008779CD" w:rsidRDefault="00DC5EB3" w:rsidP="00DC5EB3">
            <w:pPr>
              <w:jc w:val="center"/>
              <w:cnfStyle w:val="000000010000"/>
              <w:rPr>
                <w:rFonts w:ascii="Century Gothic" w:hAnsi="Century Gothic"/>
              </w:rPr>
            </w:pPr>
            <w:r w:rsidRPr="008779CD">
              <w:rPr>
                <w:rFonts w:ascii="Century Gothic" w:hAnsi="Century Gothic"/>
              </w:rPr>
              <w:t>28</w:t>
            </w:r>
          </w:p>
        </w:tc>
        <w:tc>
          <w:tcPr>
            <w:tcW w:w="3071" w:type="dxa"/>
          </w:tcPr>
          <w:p w:rsidR="00DC5EB3" w:rsidRPr="008779CD" w:rsidRDefault="00DC5EB3" w:rsidP="00DC5EB3">
            <w:pPr>
              <w:jc w:val="center"/>
              <w:cnfStyle w:val="000000010000"/>
              <w:rPr>
                <w:rFonts w:ascii="Century Gothic" w:hAnsi="Century Gothic"/>
              </w:rPr>
            </w:pPr>
            <w:r w:rsidRPr="008779CD">
              <w:rPr>
                <w:rFonts w:ascii="Century Gothic" w:hAnsi="Century Gothic"/>
              </w:rPr>
              <w:t>33</w:t>
            </w:r>
          </w:p>
        </w:tc>
      </w:tr>
      <w:tr w:rsidR="00DC613B" w:rsidRPr="008779CD" w:rsidTr="00565470">
        <w:trPr>
          <w:cnfStyle w:val="000000100000"/>
        </w:trPr>
        <w:tc>
          <w:tcPr>
            <w:cnfStyle w:val="001000000000"/>
            <w:tcW w:w="3070" w:type="dxa"/>
            <w:gridSpan w:val="2"/>
          </w:tcPr>
          <w:p w:rsidR="00DC613B" w:rsidRPr="008779CD" w:rsidRDefault="00DC613B" w:rsidP="006F11EA">
            <w:pPr>
              <w:rPr>
                <w:rFonts w:ascii="Century Gothic" w:hAnsi="Century Gothic"/>
              </w:rPr>
            </w:pPr>
            <w:r w:rsidRPr="008779CD">
              <w:rPr>
                <w:rFonts w:ascii="Century Gothic" w:hAnsi="Century Gothic"/>
              </w:rPr>
              <w:t>Pourcentage de la clientèle déclarée en défaut de paiement</w:t>
            </w:r>
          </w:p>
        </w:tc>
        <w:tc>
          <w:tcPr>
            <w:tcW w:w="3071" w:type="dxa"/>
          </w:tcPr>
          <w:p w:rsidR="00DC613B" w:rsidRPr="008779CD" w:rsidRDefault="00DC613B" w:rsidP="006F11EA">
            <w:pPr>
              <w:jc w:val="center"/>
              <w:cnfStyle w:val="000000100000"/>
              <w:rPr>
                <w:rFonts w:ascii="Century Gothic" w:hAnsi="Century Gothic"/>
              </w:rPr>
            </w:pPr>
            <w:r w:rsidRPr="008779CD">
              <w:rPr>
                <w:rFonts w:ascii="Century Gothic" w:hAnsi="Century Gothic"/>
              </w:rPr>
              <w:t>6,51%</w:t>
            </w:r>
          </w:p>
        </w:tc>
        <w:tc>
          <w:tcPr>
            <w:tcW w:w="3071" w:type="dxa"/>
          </w:tcPr>
          <w:p w:rsidR="00DC613B" w:rsidRPr="008779CD" w:rsidRDefault="00DC613B" w:rsidP="006F11EA">
            <w:pPr>
              <w:jc w:val="center"/>
              <w:cnfStyle w:val="000000100000"/>
              <w:rPr>
                <w:rFonts w:ascii="Century Gothic" w:hAnsi="Century Gothic"/>
              </w:rPr>
            </w:pPr>
            <w:r w:rsidRPr="008779CD">
              <w:rPr>
                <w:rFonts w:ascii="Century Gothic" w:hAnsi="Century Gothic"/>
              </w:rPr>
              <w:t>6,84%</w:t>
            </w:r>
          </w:p>
        </w:tc>
      </w:tr>
      <w:tr w:rsidR="00DC5EB3" w:rsidRPr="008779CD" w:rsidTr="00565470">
        <w:trPr>
          <w:cnfStyle w:val="000000010000"/>
        </w:trPr>
        <w:tc>
          <w:tcPr>
            <w:cnfStyle w:val="001000000000"/>
            <w:tcW w:w="3070" w:type="dxa"/>
            <w:gridSpan w:val="2"/>
          </w:tcPr>
          <w:p w:rsidR="00DC5EB3" w:rsidRPr="008779CD" w:rsidRDefault="00DC5EB3" w:rsidP="00A73490">
            <w:pPr>
              <w:rPr>
                <w:rFonts w:ascii="Century Gothic" w:hAnsi="Century Gothic"/>
              </w:rPr>
            </w:pPr>
            <w:r w:rsidRPr="008779CD">
              <w:rPr>
                <w:rFonts w:ascii="Century Gothic" w:hAnsi="Century Gothic"/>
              </w:rPr>
              <w:t>Nombre de clients protégés</w:t>
            </w:r>
          </w:p>
        </w:tc>
        <w:tc>
          <w:tcPr>
            <w:tcW w:w="3071" w:type="dxa"/>
          </w:tcPr>
          <w:p w:rsidR="00DC5EB3" w:rsidRPr="008779CD" w:rsidRDefault="00DC613B" w:rsidP="00DC5EB3">
            <w:pPr>
              <w:jc w:val="center"/>
              <w:cnfStyle w:val="000000010000"/>
              <w:rPr>
                <w:rFonts w:ascii="Century Gothic" w:hAnsi="Century Gothic"/>
              </w:rPr>
            </w:pPr>
            <w:r w:rsidRPr="008779CD">
              <w:rPr>
                <w:rFonts w:ascii="Century Gothic" w:hAnsi="Century Gothic"/>
              </w:rPr>
              <w:t>157.756</w:t>
            </w:r>
          </w:p>
        </w:tc>
        <w:tc>
          <w:tcPr>
            <w:tcW w:w="3071" w:type="dxa"/>
          </w:tcPr>
          <w:p w:rsidR="00DC5EB3" w:rsidRPr="008779CD" w:rsidRDefault="00DC613B" w:rsidP="00DC5EB3">
            <w:pPr>
              <w:jc w:val="center"/>
              <w:cnfStyle w:val="000000010000"/>
              <w:rPr>
                <w:rFonts w:ascii="Century Gothic" w:hAnsi="Century Gothic"/>
              </w:rPr>
            </w:pPr>
            <w:r w:rsidRPr="008779CD">
              <w:rPr>
                <w:rFonts w:ascii="Century Gothic" w:hAnsi="Century Gothic"/>
              </w:rPr>
              <w:t>165.206</w:t>
            </w:r>
          </w:p>
        </w:tc>
      </w:tr>
      <w:tr w:rsidR="00DC613B" w:rsidRPr="008779CD" w:rsidTr="00565470">
        <w:trPr>
          <w:cnfStyle w:val="000000100000"/>
        </w:trPr>
        <w:tc>
          <w:tcPr>
            <w:cnfStyle w:val="001000000000"/>
            <w:tcW w:w="3070" w:type="dxa"/>
            <w:gridSpan w:val="2"/>
          </w:tcPr>
          <w:p w:rsidR="00DC613B" w:rsidRPr="008779CD" w:rsidRDefault="00DC613B" w:rsidP="006F11EA">
            <w:pPr>
              <w:rPr>
                <w:rFonts w:ascii="Century Gothic" w:hAnsi="Century Gothic"/>
              </w:rPr>
            </w:pPr>
            <w:r w:rsidRPr="008779CD">
              <w:rPr>
                <w:rFonts w:ascii="Century Gothic" w:hAnsi="Century Gothic"/>
              </w:rPr>
              <w:t xml:space="preserve">Nombre de placement de compteur à budget </w:t>
            </w:r>
          </w:p>
        </w:tc>
        <w:tc>
          <w:tcPr>
            <w:tcW w:w="3071" w:type="dxa"/>
          </w:tcPr>
          <w:p w:rsidR="00DC613B" w:rsidRPr="008779CD" w:rsidRDefault="00DC613B" w:rsidP="006F11EA">
            <w:pPr>
              <w:jc w:val="center"/>
              <w:cnfStyle w:val="000000100000"/>
              <w:rPr>
                <w:rFonts w:ascii="Century Gothic" w:hAnsi="Century Gothic"/>
              </w:rPr>
            </w:pPr>
            <w:r w:rsidRPr="008779CD">
              <w:rPr>
                <w:rFonts w:ascii="Century Gothic" w:hAnsi="Century Gothic"/>
              </w:rPr>
              <w:t>17.325</w:t>
            </w:r>
          </w:p>
        </w:tc>
        <w:tc>
          <w:tcPr>
            <w:tcW w:w="3071" w:type="dxa"/>
          </w:tcPr>
          <w:p w:rsidR="00DC613B" w:rsidRPr="008779CD" w:rsidRDefault="00DC613B" w:rsidP="006F11EA">
            <w:pPr>
              <w:jc w:val="center"/>
              <w:cnfStyle w:val="000000100000"/>
              <w:rPr>
                <w:rFonts w:ascii="Century Gothic" w:hAnsi="Century Gothic"/>
              </w:rPr>
            </w:pPr>
            <w:r w:rsidRPr="008779CD">
              <w:rPr>
                <w:rFonts w:ascii="Century Gothic" w:hAnsi="Century Gothic"/>
              </w:rPr>
              <w:t>18.164</w:t>
            </w:r>
          </w:p>
        </w:tc>
      </w:tr>
      <w:tr w:rsidR="00DC5EB3" w:rsidRPr="008779CD" w:rsidTr="00565470">
        <w:trPr>
          <w:cnfStyle w:val="000000010000"/>
        </w:trPr>
        <w:tc>
          <w:tcPr>
            <w:cnfStyle w:val="001000000000"/>
            <w:tcW w:w="3070" w:type="dxa"/>
            <w:gridSpan w:val="2"/>
          </w:tcPr>
          <w:p w:rsidR="00DC5EB3" w:rsidRPr="008779CD" w:rsidRDefault="00DC613B" w:rsidP="00A73490">
            <w:pPr>
              <w:rPr>
                <w:rFonts w:ascii="Century Gothic" w:hAnsi="Century Gothic"/>
              </w:rPr>
            </w:pPr>
            <w:r w:rsidRPr="008779CD">
              <w:rPr>
                <w:rFonts w:ascii="Century Gothic" w:hAnsi="Century Gothic"/>
              </w:rPr>
              <w:t>Nombre de plan de paiement</w:t>
            </w:r>
          </w:p>
        </w:tc>
        <w:tc>
          <w:tcPr>
            <w:tcW w:w="3071" w:type="dxa"/>
          </w:tcPr>
          <w:p w:rsidR="00DC5EB3" w:rsidRPr="008779CD" w:rsidRDefault="00DC613B" w:rsidP="00DC5EB3">
            <w:pPr>
              <w:jc w:val="center"/>
              <w:cnfStyle w:val="000000010000"/>
              <w:rPr>
                <w:rFonts w:ascii="Century Gothic" w:hAnsi="Century Gothic"/>
              </w:rPr>
            </w:pPr>
            <w:r w:rsidRPr="008779CD">
              <w:rPr>
                <w:rFonts w:ascii="Century Gothic" w:hAnsi="Century Gothic"/>
              </w:rPr>
              <w:t>94.000</w:t>
            </w:r>
          </w:p>
        </w:tc>
        <w:tc>
          <w:tcPr>
            <w:tcW w:w="3071" w:type="dxa"/>
          </w:tcPr>
          <w:p w:rsidR="00DC5EB3" w:rsidRPr="008779CD" w:rsidRDefault="00DC613B" w:rsidP="00DC5EB3">
            <w:pPr>
              <w:jc w:val="center"/>
              <w:cnfStyle w:val="000000010000"/>
              <w:rPr>
                <w:rFonts w:ascii="Century Gothic" w:hAnsi="Century Gothic"/>
              </w:rPr>
            </w:pPr>
            <w:r w:rsidRPr="008779CD">
              <w:rPr>
                <w:rFonts w:ascii="Century Gothic" w:hAnsi="Century Gothic"/>
              </w:rPr>
              <w:t>88.400</w:t>
            </w:r>
          </w:p>
        </w:tc>
      </w:tr>
      <w:tr w:rsidR="009D701D" w:rsidRPr="008779CD" w:rsidTr="00565470">
        <w:trPr>
          <w:cnfStyle w:val="000000100000"/>
          <w:trHeight w:val="540"/>
        </w:trPr>
        <w:tc>
          <w:tcPr>
            <w:cnfStyle w:val="001000000000"/>
            <w:tcW w:w="1535" w:type="dxa"/>
            <w:vMerge w:val="restart"/>
          </w:tcPr>
          <w:p w:rsidR="009D701D" w:rsidRPr="008779CD" w:rsidRDefault="009D701D" w:rsidP="009D701D">
            <w:pPr>
              <w:rPr>
                <w:rFonts w:ascii="Century Gothic" w:hAnsi="Century Gothic"/>
              </w:rPr>
            </w:pPr>
            <w:r w:rsidRPr="008779CD">
              <w:rPr>
                <w:rFonts w:ascii="Century Gothic" w:hAnsi="Century Gothic"/>
              </w:rPr>
              <w:t>Nombre de Commission locale pour l’Energie</w:t>
            </w:r>
          </w:p>
        </w:tc>
        <w:tc>
          <w:tcPr>
            <w:tcW w:w="1535" w:type="dxa"/>
          </w:tcPr>
          <w:p w:rsidR="009D701D" w:rsidRPr="008779CD" w:rsidRDefault="009D701D" w:rsidP="009D701D">
            <w:pPr>
              <w:cnfStyle w:val="000000100000"/>
              <w:rPr>
                <w:rFonts w:ascii="Century Gothic" w:hAnsi="Century Gothic"/>
              </w:rPr>
            </w:pPr>
            <w:r w:rsidRPr="008779CD">
              <w:rPr>
                <w:rFonts w:ascii="Century Gothic" w:hAnsi="Century Gothic"/>
              </w:rPr>
              <w:t>Fourniture minimale garantie</w:t>
            </w:r>
          </w:p>
        </w:tc>
        <w:tc>
          <w:tcPr>
            <w:tcW w:w="3071" w:type="dxa"/>
          </w:tcPr>
          <w:p w:rsidR="009D701D" w:rsidRPr="008779CD" w:rsidRDefault="009D701D" w:rsidP="009D701D">
            <w:pPr>
              <w:jc w:val="center"/>
              <w:cnfStyle w:val="000000100000"/>
              <w:rPr>
                <w:rFonts w:ascii="Century Gothic" w:hAnsi="Century Gothic"/>
              </w:rPr>
            </w:pPr>
            <w:r w:rsidRPr="008779CD">
              <w:rPr>
                <w:rFonts w:ascii="Century Gothic" w:hAnsi="Century Gothic"/>
              </w:rPr>
              <w:t>780</w:t>
            </w:r>
          </w:p>
        </w:tc>
        <w:tc>
          <w:tcPr>
            <w:tcW w:w="3071" w:type="dxa"/>
          </w:tcPr>
          <w:p w:rsidR="009D701D" w:rsidRPr="008779CD" w:rsidRDefault="009D701D" w:rsidP="009D701D">
            <w:pPr>
              <w:jc w:val="center"/>
              <w:cnfStyle w:val="000000100000"/>
              <w:rPr>
                <w:rFonts w:ascii="Century Gothic" w:hAnsi="Century Gothic"/>
              </w:rPr>
            </w:pPr>
            <w:r w:rsidRPr="008779CD">
              <w:rPr>
                <w:rFonts w:ascii="Century Gothic" w:hAnsi="Century Gothic"/>
              </w:rPr>
              <w:t>602</w:t>
            </w:r>
          </w:p>
        </w:tc>
      </w:tr>
      <w:tr w:rsidR="009D701D" w:rsidRPr="008779CD" w:rsidTr="00565470">
        <w:trPr>
          <w:cnfStyle w:val="000000010000"/>
          <w:trHeight w:val="540"/>
        </w:trPr>
        <w:tc>
          <w:tcPr>
            <w:cnfStyle w:val="001000000000"/>
            <w:tcW w:w="1535" w:type="dxa"/>
            <w:vMerge/>
          </w:tcPr>
          <w:p w:rsidR="009D701D" w:rsidRPr="008779CD" w:rsidRDefault="009D701D" w:rsidP="009D701D">
            <w:pPr>
              <w:rPr>
                <w:rFonts w:ascii="Century Gothic" w:hAnsi="Century Gothic"/>
              </w:rPr>
            </w:pPr>
          </w:p>
        </w:tc>
        <w:tc>
          <w:tcPr>
            <w:tcW w:w="1535" w:type="dxa"/>
          </w:tcPr>
          <w:p w:rsidR="009D701D" w:rsidRPr="008779CD" w:rsidRDefault="009D701D" w:rsidP="009D701D">
            <w:pPr>
              <w:cnfStyle w:val="000000010000"/>
              <w:rPr>
                <w:rFonts w:ascii="Century Gothic" w:hAnsi="Century Gothic"/>
              </w:rPr>
            </w:pPr>
            <w:r w:rsidRPr="008779CD">
              <w:rPr>
                <w:rFonts w:ascii="Century Gothic" w:hAnsi="Century Gothic"/>
              </w:rPr>
              <w:t>Perte de statut de client protégé</w:t>
            </w:r>
            <w:r w:rsidR="001976CE" w:rsidRPr="008779CD">
              <w:rPr>
                <w:rFonts w:ascii="Century Gothic" w:hAnsi="Century Gothic"/>
              </w:rPr>
              <w:t xml:space="preserve"> (gaz et électricité)</w:t>
            </w:r>
          </w:p>
        </w:tc>
        <w:tc>
          <w:tcPr>
            <w:tcW w:w="3071" w:type="dxa"/>
          </w:tcPr>
          <w:p w:rsidR="009D701D" w:rsidRPr="008779CD" w:rsidRDefault="009D701D" w:rsidP="006F11EA">
            <w:pPr>
              <w:jc w:val="center"/>
              <w:cnfStyle w:val="000000010000"/>
              <w:rPr>
                <w:rFonts w:ascii="Century Gothic" w:hAnsi="Century Gothic"/>
              </w:rPr>
            </w:pPr>
            <w:r w:rsidRPr="008779CD">
              <w:rPr>
                <w:rFonts w:ascii="Century Gothic" w:hAnsi="Century Gothic"/>
              </w:rPr>
              <w:t>3.238</w:t>
            </w:r>
            <w:r w:rsidR="00A45CCE">
              <w:rPr>
                <w:rFonts w:ascii="Century Gothic" w:hAnsi="Century Gothic"/>
              </w:rPr>
              <w:t xml:space="preserve"> dossiers examinés dont 2086 pertes de statut</w:t>
            </w:r>
          </w:p>
        </w:tc>
        <w:tc>
          <w:tcPr>
            <w:tcW w:w="3071" w:type="dxa"/>
          </w:tcPr>
          <w:p w:rsidR="009D701D" w:rsidRPr="008779CD" w:rsidRDefault="009D701D" w:rsidP="006F11EA">
            <w:pPr>
              <w:jc w:val="center"/>
              <w:cnfStyle w:val="000000010000"/>
              <w:rPr>
                <w:rFonts w:ascii="Century Gothic" w:hAnsi="Century Gothic"/>
              </w:rPr>
            </w:pPr>
            <w:r w:rsidRPr="008779CD">
              <w:rPr>
                <w:rFonts w:ascii="Century Gothic" w:hAnsi="Century Gothic"/>
              </w:rPr>
              <w:t>3.732</w:t>
            </w:r>
            <w:r w:rsidR="00A45CCE">
              <w:rPr>
                <w:rFonts w:ascii="Century Gothic" w:hAnsi="Century Gothic"/>
              </w:rPr>
              <w:t xml:space="preserve"> dossiers examinés dont 2451 pertes de statut</w:t>
            </w:r>
          </w:p>
        </w:tc>
      </w:tr>
    </w:tbl>
    <w:p w:rsidR="00895B3D" w:rsidRPr="008779CD" w:rsidRDefault="00895B3D" w:rsidP="00A73490">
      <w:pPr>
        <w:rPr>
          <w:rFonts w:ascii="Century Gothic" w:hAnsi="Century Gothic"/>
        </w:rPr>
      </w:pPr>
    </w:p>
    <w:p w:rsidR="00DC5EB3" w:rsidRDefault="00DC5EB3" w:rsidP="00565470">
      <w:pPr>
        <w:autoSpaceDE w:val="0"/>
        <w:autoSpaceDN w:val="0"/>
        <w:adjustRightInd w:val="0"/>
        <w:spacing w:after="0" w:line="240" w:lineRule="auto"/>
        <w:rPr>
          <w:rFonts w:ascii="Century Gothic" w:hAnsi="Century Gothic" w:cs="Calibri"/>
        </w:rPr>
      </w:pPr>
      <w:r w:rsidRPr="008779CD">
        <w:rPr>
          <w:rFonts w:ascii="Century Gothic" w:hAnsi="Century Gothic" w:cs="Calibri"/>
        </w:rPr>
        <w:t xml:space="preserve">Parts de marché des fournisseurs d’électricité actifs </w:t>
      </w:r>
      <w:r w:rsidRPr="008779CD">
        <w:rPr>
          <w:rFonts w:ascii="Century Gothic" w:hAnsi="Century Gothic" w:cs="Calibri-Bold"/>
          <w:bCs/>
        </w:rPr>
        <w:t>sur les réseaux de distribution et de transport local en Région wallonne</w:t>
      </w:r>
      <w:r w:rsidRPr="008779CD">
        <w:rPr>
          <w:rFonts w:ascii="Century Gothic" w:hAnsi="Century Gothic" w:cs="Calibri"/>
        </w:rPr>
        <w:t xml:space="preserve"> sur base de l'énergie livrée en 2015</w:t>
      </w:r>
    </w:p>
    <w:p w:rsidR="00565470" w:rsidRPr="008779CD" w:rsidRDefault="00565470" w:rsidP="00565470">
      <w:pPr>
        <w:autoSpaceDE w:val="0"/>
        <w:autoSpaceDN w:val="0"/>
        <w:adjustRightInd w:val="0"/>
        <w:spacing w:after="0" w:line="240" w:lineRule="auto"/>
        <w:rPr>
          <w:rFonts w:ascii="Century Gothic" w:hAnsi="Century Gothic"/>
        </w:rPr>
      </w:pPr>
    </w:p>
    <w:p w:rsidR="00DC5EB3" w:rsidRPr="008779CD" w:rsidRDefault="00DC5EB3" w:rsidP="00DC5EB3">
      <w:pPr>
        <w:jc w:val="center"/>
        <w:rPr>
          <w:rFonts w:ascii="Century Gothic" w:hAnsi="Century Gothic"/>
        </w:rPr>
      </w:pPr>
      <w:r w:rsidRPr="008779CD">
        <w:rPr>
          <w:rFonts w:ascii="Century Gothic" w:hAnsi="Century Gothic"/>
          <w:noProof/>
        </w:rPr>
        <w:drawing>
          <wp:inline distT="0" distB="0" distL="0" distR="0">
            <wp:extent cx="2785110" cy="2359719"/>
            <wp:effectExtent l="19050" t="19050" r="15240" b="21531"/>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81792" cy="2356908"/>
                    </a:xfrm>
                    <a:prstGeom prst="rect">
                      <a:avLst/>
                    </a:prstGeom>
                    <a:noFill/>
                    <a:ln w="9525">
                      <a:solidFill>
                        <a:schemeClr val="accent1"/>
                      </a:solidFill>
                      <a:miter lim="800000"/>
                      <a:headEnd/>
                      <a:tailEnd/>
                    </a:ln>
                  </pic:spPr>
                </pic:pic>
              </a:graphicData>
            </a:graphic>
          </wp:inline>
        </w:drawing>
      </w:r>
    </w:p>
    <w:p w:rsidR="00565470" w:rsidRDefault="00565470" w:rsidP="00A73490">
      <w:pPr>
        <w:rPr>
          <w:rFonts w:ascii="Century Gothic" w:hAnsi="Century Gothic"/>
          <w:b/>
        </w:rPr>
      </w:pPr>
    </w:p>
    <w:p w:rsidR="00DC5EB3" w:rsidRPr="008779CD" w:rsidRDefault="00DC5EB3" w:rsidP="00A73490">
      <w:pPr>
        <w:rPr>
          <w:rFonts w:ascii="Century Gothic" w:hAnsi="Century Gothic"/>
          <w:b/>
        </w:rPr>
      </w:pPr>
      <w:r w:rsidRPr="008779CD">
        <w:rPr>
          <w:rFonts w:ascii="Century Gothic" w:hAnsi="Century Gothic"/>
          <w:b/>
        </w:rPr>
        <w:t>Gaz</w:t>
      </w:r>
    </w:p>
    <w:tbl>
      <w:tblPr>
        <w:tblStyle w:val="Grilleclaire-Accent1"/>
        <w:tblW w:w="0" w:type="auto"/>
        <w:tblLook w:val="04A0"/>
      </w:tblPr>
      <w:tblGrid>
        <w:gridCol w:w="3070"/>
        <w:gridCol w:w="3071"/>
        <w:gridCol w:w="3071"/>
      </w:tblGrid>
      <w:tr w:rsidR="00DC5EB3" w:rsidRPr="008779CD" w:rsidTr="00565470">
        <w:trPr>
          <w:cnfStyle w:val="100000000000"/>
        </w:trPr>
        <w:tc>
          <w:tcPr>
            <w:cnfStyle w:val="001000000000"/>
            <w:tcW w:w="3070" w:type="dxa"/>
          </w:tcPr>
          <w:p w:rsidR="00DC5EB3" w:rsidRPr="008779CD" w:rsidRDefault="00565470" w:rsidP="00DC5EB3">
            <w:pPr>
              <w:jc w:val="center"/>
              <w:rPr>
                <w:rFonts w:ascii="Century Gothic" w:hAnsi="Century Gothic"/>
              </w:rPr>
            </w:pPr>
            <w:r>
              <w:rPr>
                <w:rFonts w:ascii="Century Gothic" w:hAnsi="Century Gothic"/>
              </w:rPr>
              <w:t>Indicateurs</w:t>
            </w:r>
          </w:p>
        </w:tc>
        <w:tc>
          <w:tcPr>
            <w:tcW w:w="3071" w:type="dxa"/>
          </w:tcPr>
          <w:p w:rsidR="00DC5EB3" w:rsidRPr="008779CD" w:rsidRDefault="00DC5EB3" w:rsidP="00DC5EB3">
            <w:pPr>
              <w:jc w:val="center"/>
              <w:cnfStyle w:val="100000000000"/>
              <w:rPr>
                <w:rFonts w:ascii="Century Gothic" w:hAnsi="Century Gothic"/>
              </w:rPr>
            </w:pPr>
            <w:r w:rsidRPr="008779CD">
              <w:rPr>
                <w:rFonts w:ascii="Century Gothic" w:hAnsi="Century Gothic"/>
              </w:rPr>
              <w:t>2014</w:t>
            </w:r>
          </w:p>
        </w:tc>
        <w:tc>
          <w:tcPr>
            <w:tcW w:w="3071" w:type="dxa"/>
          </w:tcPr>
          <w:p w:rsidR="00DC5EB3" w:rsidRPr="008779CD" w:rsidRDefault="00DC5EB3" w:rsidP="00DC5EB3">
            <w:pPr>
              <w:jc w:val="center"/>
              <w:cnfStyle w:val="100000000000"/>
              <w:rPr>
                <w:rFonts w:ascii="Century Gothic" w:hAnsi="Century Gothic"/>
              </w:rPr>
            </w:pPr>
            <w:r w:rsidRPr="008779CD">
              <w:rPr>
                <w:rFonts w:ascii="Century Gothic" w:hAnsi="Century Gothic"/>
              </w:rPr>
              <w:t>2015</w:t>
            </w:r>
          </w:p>
        </w:tc>
      </w:tr>
      <w:tr w:rsidR="00DC5EB3" w:rsidRPr="008779CD" w:rsidTr="00565470">
        <w:trPr>
          <w:cnfStyle w:val="000000100000"/>
        </w:trPr>
        <w:tc>
          <w:tcPr>
            <w:cnfStyle w:val="001000000000"/>
            <w:tcW w:w="3070" w:type="dxa"/>
          </w:tcPr>
          <w:p w:rsidR="00DC5EB3" w:rsidRPr="008779CD" w:rsidRDefault="00DC5EB3" w:rsidP="00DC5EB3">
            <w:pPr>
              <w:rPr>
                <w:rFonts w:ascii="Century Gothic" w:hAnsi="Century Gothic"/>
              </w:rPr>
            </w:pPr>
            <w:r w:rsidRPr="008779CD">
              <w:rPr>
                <w:rFonts w:ascii="Century Gothic" w:hAnsi="Century Gothic"/>
              </w:rPr>
              <w:t>Taux de changement de fournisseurs</w:t>
            </w:r>
          </w:p>
        </w:tc>
        <w:tc>
          <w:tcPr>
            <w:tcW w:w="3071" w:type="dxa"/>
          </w:tcPr>
          <w:p w:rsidR="00DC5EB3" w:rsidRPr="008779CD" w:rsidRDefault="00DC5EB3" w:rsidP="00DC5EB3">
            <w:pPr>
              <w:jc w:val="center"/>
              <w:cnfStyle w:val="000000100000"/>
              <w:rPr>
                <w:rFonts w:ascii="Century Gothic" w:hAnsi="Century Gothic"/>
              </w:rPr>
            </w:pPr>
            <w:r w:rsidRPr="008779CD">
              <w:rPr>
                <w:rFonts w:ascii="Century Gothic" w:hAnsi="Century Gothic"/>
              </w:rPr>
              <w:t>15,9%</w:t>
            </w:r>
          </w:p>
        </w:tc>
        <w:tc>
          <w:tcPr>
            <w:tcW w:w="3071" w:type="dxa"/>
          </w:tcPr>
          <w:p w:rsidR="00DC5EB3" w:rsidRPr="008779CD" w:rsidRDefault="00DC5EB3" w:rsidP="00DC5EB3">
            <w:pPr>
              <w:jc w:val="center"/>
              <w:cnfStyle w:val="000000100000"/>
              <w:rPr>
                <w:rFonts w:ascii="Century Gothic" w:hAnsi="Century Gothic"/>
              </w:rPr>
            </w:pPr>
            <w:r w:rsidRPr="008779CD">
              <w:rPr>
                <w:rFonts w:ascii="Century Gothic" w:hAnsi="Century Gothic"/>
              </w:rPr>
              <w:t>17,7%</w:t>
            </w:r>
          </w:p>
        </w:tc>
      </w:tr>
      <w:tr w:rsidR="00DC5EB3" w:rsidRPr="008779CD" w:rsidTr="00565470">
        <w:trPr>
          <w:cnfStyle w:val="000000010000"/>
        </w:trPr>
        <w:tc>
          <w:tcPr>
            <w:cnfStyle w:val="001000000000"/>
            <w:tcW w:w="3070" w:type="dxa"/>
          </w:tcPr>
          <w:p w:rsidR="00DC5EB3" w:rsidRPr="008779CD" w:rsidRDefault="00DC5EB3" w:rsidP="00DC5EB3">
            <w:pPr>
              <w:rPr>
                <w:rFonts w:ascii="Century Gothic" w:hAnsi="Century Gothic"/>
              </w:rPr>
            </w:pPr>
            <w:r w:rsidRPr="008779CD">
              <w:rPr>
                <w:rFonts w:ascii="Century Gothic" w:hAnsi="Century Gothic"/>
              </w:rPr>
              <w:t>Fournisseurs actifs</w:t>
            </w:r>
          </w:p>
        </w:tc>
        <w:tc>
          <w:tcPr>
            <w:tcW w:w="3071" w:type="dxa"/>
          </w:tcPr>
          <w:p w:rsidR="00DC5EB3" w:rsidRPr="008779CD" w:rsidRDefault="00DC5EB3" w:rsidP="00DC5EB3">
            <w:pPr>
              <w:jc w:val="center"/>
              <w:cnfStyle w:val="000000010000"/>
              <w:rPr>
                <w:rFonts w:ascii="Century Gothic" w:hAnsi="Century Gothic"/>
              </w:rPr>
            </w:pPr>
            <w:r w:rsidRPr="008779CD">
              <w:rPr>
                <w:rFonts w:ascii="Century Gothic" w:hAnsi="Century Gothic"/>
              </w:rPr>
              <w:t>27</w:t>
            </w:r>
          </w:p>
        </w:tc>
        <w:tc>
          <w:tcPr>
            <w:tcW w:w="3071" w:type="dxa"/>
          </w:tcPr>
          <w:p w:rsidR="00DC5EB3" w:rsidRPr="008779CD" w:rsidRDefault="00DC5EB3" w:rsidP="00DC5EB3">
            <w:pPr>
              <w:jc w:val="center"/>
              <w:cnfStyle w:val="000000010000"/>
              <w:rPr>
                <w:rFonts w:ascii="Century Gothic" w:hAnsi="Century Gothic"/>
              </w:rPr>
            </w:pPr>
            <w:r w:rsidRPr="008779CD">
              <w:rPr>
                <w:rFonts w:ascii="Century Gothic" w:hAnsi="Century Gothic"/>
              </w:rPr>
              <w:t>28</w:t>
            </w:r>
          </w:p>
          <w:p w:rsidR="00DC5EB3" w:rsidRPr="008779CD" w:rsidRDefault="00DC5EB3" w:rsidP="00DC5EB3">
            <w:pPr>
              <w:cnfStyle w:val="000000010000"/>
              <w:rPr>
                <w:rFonts w:ascii="Century Gothic" w:hAnsi="Century Gothic"/>
              </w:rPr>
            </w:pPr>
          </w:p>
        </w:tc>
      </w:tr>
      <w:tr w:rsidR="00DC613B" w:rsidRPr="008779CD" w:rsidTr="00565470">
        <w:trPr>
          <w:cnfStyle w:val="000000100000"/>
        </w:trPr>
        <w:tc>
          <w:tcPr>
            <w:cnfStyle w:val="001000000000"/>
            <w:tcW w:w="3070" w:type="dxa"/>
          </w:tcPr>
          <w:p w:rsidR="00DC613B" w:rsidRPr="008779CD" w:rsidRDefault="00DC613B" w:rsidP="006F11EA">
            <w:pPr>
              <w:rPr>
                <w:rFonts w:ascii="Century Gothic" w:hAnsi="Century Gothic"/>
              </w:rPr>
            </w:pPr>
            <w:r w:rsidRPr="008779CD">
              <w:rPr>
                <w:rFonts w:ascii="Century Gothic" w:hAnsi="Century Gothic"/>
              </w:rPr>
              <w:t>Nombre de clients protégés</w:t>
            </w:r>
          </w:p>
        </w:tc>
        <w:tc>
          <w:tcPr>
            <w:tcW w:w="3071" w:type="dxa"/>
          </w:tcPr>
          <w:p w:rsidR="00DC613B" w:rsidRPr="008779CD" w:rsidRDefault="00DC613B" w:rsidP="006F11EA">
            <w:pPr>
              <w:jc w:val="center"/>
              <w:cnfStyle w:val="000000100000"/>
              <w:rPr>
                <w:rFonts w:ascii="Century Gothic" w:hAnsi="Century Gothic"/>
              </w:rPr>
            </w:pPr>
            <w:r w:rsidRPr="008779CD">
              <w:rPr>
                <w:rFonts w:ascii="Century Gothic" w:hAnsi="Century Gothic"/>
              </w:rPr>
              <w:t>76.669</w:t>
            </w:r>
          </w:p>
        </w:tc>
        <w:tc>
          <w:tcPr>
            <w:tcW w:w="3071" w:type="dxa"/>
          </w:tcPr>
          <w:p w:rsidR="00DC613B" w:rsidRPr="008779CD" w:rsidRDefault="00DC613B" w:rsidP="006F11EA">
            <w:pPr>
              <w:jc w:val="center"/>
              <w:cnfStyle w:val="000000100000"/>
              <w:rPr>
                <w:rFonts w:ascii="Century Gothic" w:hAnsi="Century Gothic"/>
              </w:rPr>
            </w:pPr>
            <w:r w:rsidRPr="008779CD">
              <w:rPr>
                <w:rFonts w:ascii="Century Gothic" w:hAnsi="Century Gothic"/>
              </w:rPr>
              <w:t>80.467</w:t>
            </w:r>
          </w:p>
        </w:tc>
      </w:tr>
      <w:tr w:rsidR="00DC5EB3" w:rsidRPr="008779CD" w:rsidTr="00565470">
        <w:trPr>
          <w:cnfStyle w:val="000000010000"/>
        </w:trPr>
        <w:tc>
          <w:tcPr>
            <w:cnfStyle w:val="001000000000"/>
            <w:tcW w:w="3070" w:type="dxa"/>
          </w:tcPr>
          <w:p w:rsidR="00DC5EB3" w:rsidRPr="008779CD" w:rsidRDefault="00DC613B" w:rsidP="00DC5EB3">
            <w:pPr>
              <w:rPr>
                <w:rFonts w:ascii="Century Gothic" w:hAnsi="Century Gothic"/>
              </w:rPr>
            </w:pPr>
            <w:r w:rsidRPr="008779CD">
              <w:rPr>
                <w:rFonts w:ascii="Century Gothic" w:hAnsi="Century Gothic"/>
              </w:rPr>
              <w:t>Pourcentage de la clientèle déclarée en défaut de paiement</w:t>
            </w:r>
          </w:p>
        </w:tc>
        <w:tc>
          <w:tcPr>
            <w:tcW w:w="3071" w:type="dxa"/>
          </w:tcPr>
          <w:p w:rsidR="00DC5EB3" w:rsidRPr="008779CD" w:rsidRDefault="00DC613B" w:rsidP="00DC5EB3">
            <w:pPr>
              <w:jc w:val="center"/>
              <w:cnfStyle w:val="000000010000"/>
              <w:rPr>
                <w:rFonts w:ascii="Century Gothic" w:hAnsi="Century Gothic"/>
              </w:rPr>
            </w:pPr>
            <w:r w:rsidRPr="008779CD">
              <w:rPr>
                <w:rFonts w:ascii="Century Gothic" w:hAnsi="Century Gothic"/>
              </w:rPr>
              <w:t>8,74%</w:t>
            </w:r>
          </w:p>
        </w:tc>
        <w:tc>
          <w:tcPr>
            <w:tcW w:w="3071" w:type="dxa"/>
          </w:tcPr>
          <w:p w:rsidR="00DC5EB3" w:rsidRPr="008779CD" w:rsidRDefault="00DC613B" w:rsidP="00DC5EB3">
            <w:pPr>
              <w:jc w:val="center"/>
              <w:cnfStyle w:val="000000010000"/>
              <w:rPr>
                <w:rFonts w:ascii="Century Gothic" w:hAnsi="Century Gothic"/>
              </w:rPr>
            </w:pPr>
            <w:r w:rsidRPr="008779CD">
              <w:rPr>
                <w:rFonts w:ascii="Century Gothic" w:hAnsi="Century Gothic"/>
              </w:rPr>
              <w:t>9,56%</w:t>
            </w:r>
          </w:p>
        </w:tc>
      </w:tr>
      <w:tr w:rsidR="00DC613B" w:rsidRPr="008779CD" w:rsidTr="00565470">
        <w:trPr>
          <w:cnfStyle w:val="000000100000"/>
        </w:trPr>
        <w:tc>
          <w:tcPr>
            <w:cnfStyle w:val="001000000000"/>
            <w:tcW w:w="3070" w:type="dxa"/>
          </w:tcPr>
          <w:p w:rsidR="00DC613B" w:rsidRPr="008779CD" w:rsidRDefault="00DC613B" w:rsidP="006F11EA">
            <w:pPr>
              <w:rPr>
                <w:rFonts w:ascii="Century Gothic" w:hAnsi="Century Gothic"/>
              </w:rPr>
            </w:pPr>
            <w:r w:rsidRPr="008779CD">
              <w:rPr>
                <w:rFonts w:ascii="Century Gothic" w:hAnsi="Century Gothic"/>
              </w:rPr>
              <w:t xml:space="preserve">Nombre de placement de compteur à budget </w:t>
            </w:r>
          </w:p>
        </w:tc>
        <w:tc>
          <w:tcPr>
            <w:tcW w:w="3071" w:type="dxa"/>
          </w:tcPr>
          <w:p w:rsidR="00DC613B" w:rsidRPr="008779CD" w:rsidRDefault="00DC613B" w:rsidP="006F11EA">
            <w:pPr>
              <w:jc w:val="center"/>
              <w:cnfStyle w:val="000000100000"/>
              <w:rPr>
                <w:rFonts w:ascii="Century Gothic" w:hAnsi="Century Gothic"/>
              </w:rPr>
            </w:pPr>
            <w:r w:rsidRPr="008779CD">
              <w:rPr>
                <w:rFonts w:ascii="Century Gothic" w:hAnsi="Century Gothic"/>
              </w:rPr>
              <w:t>3.719</w:t>
            </w:r>
          </w:p>
        </w:tc>
        <w:tc>
          <w:tcPr>
            <w:tcW w:w="3071" w:type="dxa"/>
          </w:tcPr>
          <w:p w:rsidR="00DC613B" w:rsidRPr="008779CD" w:rsidRDefault="00DC613B" w:rsidP="006F11EA">
            <w:pPr>
              <w:jc w:val="center"/>
              <w:cnfStyle w:val="000000100000"/>
              <w:rPr>
                <w:rFonts w:ascii="Century Gothic" w:hAnsi="Century Gothic"/>
              </w:rPr>
            </w:pPr>
            <w:r w:rsidRPr="008779CD">
              <w:rPr>
                <w:rFonts w:ascii="Century Gothic" w:hAnsi="Century Gothic"/>
              </w:rPr>
              <w:t>10.164</w:t>
            </w:r>
          </w:p>
        </w:tc>
      </w:tr>
      <w:tr w:rsidR="00DC613B" w:rsidRPr="008779CD" w:rsidTr="00565470">
        <w:trPr>
          <w:cnfStyle w:val="000000010000"/>
        </w:trPr>
        <w:tc>
          <w:tcPr>
            <w:cnfStyle w:val="001000000000"/>
            <w:tcW w:w="3070" w:type="dxa"/>
          </w:tcPr>
          <w:p w:rsidR="00DC613B" w:rsidRPr="008779CD" w:rsidRDefault="00DC613B" w:rsidP="006F11EA">
            <w:pPr>
              <w:rPr>
                <w:rFonts w:ascii="Century Gothic" w:hAnsi="Century Gothic"/>
              </w:rPr>
            </w:pPr>
            <w:r w:rsidRPr="008779CD">
              <w:rPr>
                <w:rFonts w:ascii="Century Gothic" w:hAnsi="Century Gothic"/>
              </w:rPr>
              <w:t>Nombre de plan de paiement</w:t>
            </w:r>
          </w:p>
        </w:tc>
        <w:tc>
          <w:tcPr>
            <w:tcW w:w="3071" w:type="dxa"/>
          </w:tcPr>
          <w:p w:rsidR="00DC613B" w:rsidRPr="008779CD" w:rsidRDefault="009D701D" w:rsidP="006F11EA">
            <w:pPr>
              <w:jc w:val="center"/>
              <w:cnfStyle w:val="000000010000"/>
              <w:rPr>
                <w:rFonts w:ascii="Century Gothic" w:hAnsi="Century Gothic"/>
              </w:rPr>
            </w:pPr>
            <w:r w:rsidRPr="008779CD">
              <w:rPr>
                <w:rFonts w:ascii="Century Gothic" w:hAnsi="Century Gothic"/>
              </w:rPr>
              <w:t>51.600</w:t>
            </w:r>
          </w:p>
        </w:tc>
        <w:tc>
          <w:tcPr>
            <w:tcW w:w="3071" w:type="dxa"/>
          </w:tcPr>
          <w:p w:rsidR="00DC613B" w:rsidRPr="008779CD" w:rsidRDefault="00DC613B" w:rsidP="006F11EA">
            <w:pPr>
              <w:jc w:val="center"/>
              <w:cnfStyle w:val="000000010000"/>
              <w:rPr>
                <w:rFonts w:ascii="Century Gothic" w:hAnsi="Century Gothic"/>
              </w:rPr>
            </w:pPr>
            <w:r w:rsidRPr="008779CD">
              <w:rPr>
                <w:rFonts w:ascii="Century Gothic" w:hAnsi="Century Gothic"/>
              </w:rPr>
              <w:t>53.600</w:t>
            </w:r>
          </w:p>
        </w:tc>
      </w:tr>
      <w:tr w:rsidR="00DC5EB3" w:rsidRPr="008779CD" w:rsidTr="00565470">
        <w:trPr>
          <w:cnfStyle w:val="000000100000"/>
        </w:trPr>
        <w:tc>
          <w:tcPr>
            <w:cnfStyle w:val="001000000000"/>
            <w:tcW w:w="3070" w:type="dxa"/>
          </w:tcPr>
          <w:p w:rsidR="00DC5EB3" w:rsidRPr="008779CD" w:rsidRDefault="009D701D" w:rsidP="00DC5EB3">
            <w:pPr>
              <w:rPr>
                <w:rFonts w:ascii="Century Gothic" w:hAnsi="Century Gothic"/>
              </w:rPr>
            </w:pPr>
            <w:r w:rsidRPr="008779CD">
              <w:rPr>
                <w:rFonts w:ascii="Century Gothic" w:hAnsi="Century Gothic"/>
              </w:rPr>
              <w:t>Nombre de Commission locale pour l’Energie</w:t>
            </w:r>
          </w:p>
        </w:tc>
        <w:tc>
          <w:tcPr>
            <w:tcW w:w="3071" w:type="dxa"/>
          </w:tcPr>
          <w:p w:rsidR="00DC5EB3" w:rsidRPr="008779CD" w:rsidRDefault="009D701D" w:rsidP="00DC5EB3">
            <w:pPr>
              <w:jc w:val="center"/>
              <w:cnfStyle w:val="000000100000"/>
              <w:rPr>
                <w:rFonts w:ascii="Century Gothic" w:hAnsi="Century Gothic"/>
              </w:rPr>
            </w:pPr>
            <w:r w:rsidRPr="008779CD">
              <w:rPr>
                <w:rFonts w:ascii="Century Gothic" w:hAnsi="Century Gothic"/>
              </w:rPr>
              <w:t>772</w:t>
            </w:r>
          </w:p>
        </w:tc>
        <w:tc>
          <w:tcPr>
            <w:tcW w:w="3071" w:type="dxa"/>
          </w:tcPr>
          <w:p w:rsidR="00DC5EB3" w:rsidRPr="008779CD" w:rsidRDefault="009D701D" w:rsidP="00DC5EB3">
            <w:pPr>
              <w:jc w:val="center"/>
              <w:cnfStyle w:val="000000100000"/>
              <w:rPr>
                <w:rFonts w:ascii="Century Gothic" w:hAnsi="Century Gothic"/>
              </w:rPr>
            </w:pPr>
            <w:r w:rsidRPr="008779CD">
              <w:rPr>
                <w:rFonts w:ascii="Century Gothic" w:hAnsi="Century Gothic"/>
              </w:rPr>
              <w:t>899</w:t>
            </w:r>
          </w:p>
        </w:tc>
      </w:tr>
      <w:tr w:rsidR="001976CE" w:rsidRPr="008779CD" w:rsidTr="00565470">
        <w:trPr>
          <w:cnfStyle w:val="000000010000"/>
          <w:trHeight w:val="540"/>
        </w:trPr>
        <w:tc>
          <w:tcPr>
            <w:cnfStyle w:val="001000000000"/>
            <w:tcW w:w="3070" w:type="dxa"/>
          </w:tcPr>
          <w:p w:rsidR="001976CE" w:rsidRPr="008779CD" w:rsidRDefault="001976CE" w:rsidP="006F11EA">
            <w:pPr>
              <w:rPr>
                <w:rFonts w:ascii="Century Gothic" w:hAnsi="Century Gothic"/>
              </w:rPr>
            </w:pPr>
            <w:r w:rsidRPr="008779CD">
              <w:rPr>
                <w:rFonts w:ascii="Century Gothic" w:hAnsi="Century Gothic"/>
              </w:rPr>
              <w:t>Nombre de Commission locale pour l’Energie</w:t>
            </w:r>
          </w:p>
          <w:p w:rsidR="001976CE" w:rsidRPr="008779CD" w:rsidRDefault="001976CE" w:rsidP="006F11EA">
            <w:pPr>
              <w:rPr>
                <w:rFonts w:ascii="Century Gothic" w:hAnsi="Century Gothic"/>
              </w:rPr>
            </w:pPr>
            <w:r w:rsidRPr="008779CD">
              <w:rPr>
                <w:rFonts w:ascii="Century Gothic" w:hAnsi="Century Gothic"/>
              </w:rPr>
              <w:t>(Aide hivernale)</w:t>
            </w:r>
          </w:p>
        </w:tc>
        <w:tc>
          <w:tcPr>
            <w:tcW w:w="3071" w:type="dxa"/>
          </w:tcPr>
          <w:p w:rsidR="001976CE" w:rsidRPr="008779CD" w:rsidRDefault="001976CE" w:rsidP="006F11EA">
            <w:pPr>
              <w:jc w:val="center"/>
              <w:cnfStyle w:val="000000010000"/>
              <w:rPr>
                <w:rFonts w:ascii="Century Gothic" w:hAnsi="Century Gothic"/>
              </w:rPr>
            </w:pPr>
            <w:r w:rsidRPr="008779CD">
              <w:rPr>
                <w:rFonts w:ascii="Century Gothic" w:hAnsi="Century Gothic"/>
              </w:rPr>
              <w:t>772</w:t>
            </w:r>
          </w:p>
        </w:tc>
        <w:tc>
          <w:tcPr>
            <w:tcW w:w="3071" w:type="dxa"/>
          </w:tcPr>
          <w:p w:rsidR="001976CE" w:rsidRPr="008779CD" w:rsidRDefault="001976CE" w:rsidP="006F11EA">
            <w:pPr>
              <w:jc w:val="center"/>
              <w:cnfStyle w:val="000000010000"/>
              <w:rPr>
                <w:rFonts w:ascii="Century Gothic" w:hAnsi="Century Gothic"/>
              </w:rPr>
            </w:pPr>
            <w:r w:rsidRPr="008779CD">
              <w:rPr>
                <w:rFonts w:ascii="Century Gothic" w:hAnsi="Century Gothic"/>
              </w:rPr>
              <w:t>899</w:t>
            </w:r>
          </w:p>
        </w:tc>
      </w:tr>
    </w:tbl>
    <w:p w:rsidR="00DC5EB3" w:rsidRPr="008779CD" w:rsidRDefault="00DC5EB3" w:rsidP="00A73490">
      <w:pPr>
        <w:rPr>
          <w:rFonts w:ascii="Century Gothic" w:hAnsi="Century Gothic"/>
        </w:rPr>
      </w:pPr>
    </w:p>
    <w:p w:rsidR="00DC5EB3" w:rsidRPr="008779CD" w:rsidRDefault="00DC5EB3" w:rsidP="00565470">
      <w:pPr>
        <w:autoSpaceDE w:val="0"/>
        <w:autoSpaceDN w:val="0"/>
        <w:adjustRightInd w:val="0"/>
        <w:spacing w:after="0" w:line="240" w:lineRule="auto"/>
        <w:rPr>
          <w:rFonts w:ascii="Century Gothic" w:hAnsi="Century Gothic" w:cs="Calibri"/>
        </w:rPr>
      </w:pPr>
      <w:r w:rsidRPr="008779CD">
        <w:rPr>
          <w:rFonts w:ascii="Century Gothic" w:hAnsi="Century Gothic" w:cs="Calibri"/>
        </w:rPr>
        <w:t xml:space="preserve">Parts de marché des fournisseurs de gaz naturel actifs </w:t>
      </w:r>
      <w:r w:rsidRPr="008779CD">
        <w:rPr>
          <w:rFonts w:ascii="Century Gothic" w:hAnsi="Century Gothic" w:cs="Calibri-Bold"/>
          <w:bCs/>
        </w:rPr>
        <w:t>sur les réseaux de distribution en Région wallonne</w:t>
      </w:r>
      <w:r w:rsidRPr="008779CD">
        <w:rPr>
          <w:rFonts w:ascii="Century Gothic" w:hAnsi="Century Gothic" w:cs="Calibri"/>
        </w:rPr>
        <w:t xml:space="preserve"> sur b</w:t>
      </w:r>
      <w:r w:rsidR="00E832D4" w:rsidRPr="008779CD">
        <w:rPr>
          <w:rFonts w:ascii="Century Gothic" w:hAnsi="Century Gothic" w:cs="Calibri"/>
        </w:rPr>
        <w:t>ase de l'énergie livrée en 2015</w:t>
      </w:r>
    </w:p>
    <w:p w:rsidR="00DC5EB3" w:rsidRPr="008779CD" w:rsidRDefault="00DC5EB3" w:rsidP="00DC5EB3">
      <w:pPr>
        <w:autoSpaceDE w:val="0"/>
        <w:autoSpaceDN w:val="0"/>
        <w:adjustRightInd w:val="0"/>
        <w:spacing w:after="0" w:line="240" w:lineRule="auto"/>
        <w:jc w:val="center"/>
        <w:rPr>
          <w:rFonts w:ascii="Century Gothic" w:hAnsi="Century Gothic" w:cs="Calibri"/>
        </w:rPr>
      </w:pPr>
      <w:r w:rsidRPr="008779CD">
        <w:rPr>
          <w:rFonts w:ascii="Century Gothic" w:hAnsi="Century Gothic" w:cs="Calibri"/>
          <w:noProof/>
        </w:rPr>
        <w:drawing>
          <wp:inline distT="0" distB="0" distL="0" distR="0">
            <wp:extent cx="2767918" cy="2785110"/>
            <wp:effectExtent l="38100" t="19050" r="13382" b="152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767918" cy="2785110"/>
                    </a:xfrm>
                    <a:prstGeom prst="rect">
                      <a:avLst/>
                    </a:prstGeom>
                    <a:noFill/>
                    <a:ln w="9525">
                      <a:solidFill>
                        <a:schemeClr val="accent1"/>
                      </a:solidFill>
                      <a:miter lim="800000"/>
                      <a:headEnd/>
                      <a:tailEnd/>
                    </a:ln>
                  </pic:spPr>
                </pic:pic>
              </a:graphicData>
            </a:graphic>
          </wp:inline>
        </w:drawing>
      </w:r>
    </w:p>
    <w:p w:rsidR="00DC5EB3" w:rsidRPr="008779CD" w:rsidRDefault="00DC5EB3" w:rsidP="00DC5EB3">
      <w:pPr>
        <w:autoSpaceDE w:val="0"/>
        <w:autoSpaceDN w:val="0"/>
        <w:adjustRightInd w:val="0"/>
        <w:spacing w:after="0" w:line="240" w:lineRule="auto"/>
        <w:rPr>
          <w:rFonts w:ascii="Century Gothic" w:hAnsi="Century Gothic"/>
        </w:rPr>
      </w:pPr>
    </w:p>
    <w:p w:rsidR="00B346EE" w:rsidRDefault="00B346EE">
      <w:pPr>
        <w:rPr>
          <w:rFonts w:ascii="Century Gothic" w:hAnsi="Century Gothic"/>
        </w:rPr>
      </w:pPr>
      <w:r>
        <w:rPr>
          <w:rFonts w:ascii="Century Gothic" w:hAnsi="Century Gothic"/>
        </w:rPr>
        <w:br w:type="page"/>
      </w:r>
    </w:p>
    <w:p w:rsidR="00D6536B" w:rsidRPr="008779CD" w:rsidRDefault="00D6536B" w:rsidP="00A73490">
      <w:pPr>
        <w:rPr>
          <w:rFonts w:ascii="Century Gothic" w:hAnsi="Century Gothic"/>
        </w:rPr>
      </w:pPr>
    </w:p>
    <w:p w:rsidR="007A5B20" w:rsidRPr="00BD07BF" w:rsidRDefault="00756CB3" w:rsidP="00BD07BF">
      <w:pPr>
        <w:pStyle w:val="Titre1"/>
        <w:numPr>
          <w:ilvl w:val="0"/>
          <w:numId w:val="24"/>
        </w:numPr>
      </w:pPr>
      <w:bookmarkStart w:id="7" w:name="_Toc475442019"/>
      <w:r w:rsidRPr="00BD07BF">
        <w:t>Questionnaire</w:t>
      </w:r>
      <w:bookmarkEnd w:id="7"/>
    </w:p>
    <w:p w:rsidR="00756CB3" w:rsidRPr="008779CD" w:rsidRDefault="00756CB3" w:rsidP="007A5B20">
      <w:pPr>
        <w:rPr>
          <w:rFonts w:ascii="Century Gothic" w:hAnsi="Century Gothic"/>
        </w:rPr>
      </w:pPr>
    </w:p>
    <w:p w:rsidR="00A73490" w:rsidRDefault="00A73490" w:rsidP="008D2A07">
      <w:pPr>
        <w:pStyle w:val="Titre1"/>
        <w:rPr>
          <w:rFonts w:ascii="Century Gothic" w:hAnsi="Century Gothic"/>
          <w:sz w:val="22"/>
          <w:szCs w:val="22"/>
        </w:rPr>
      </w:pPr>
    </w:p>
    <w:p w:rsidR="00A45CCE" w:rsidRPr="00915FA9" w:rsidRDefault="00A45CCE" w:rsidP="00A45CCE">
      <w:pPr>
        <w:pStyle w:val="Paragraphedeliste"/>
        <w:rPr>
          <w:rFonts w:ascii="Century Gothic" w:hAnsi="Century Gothic"/>
        </w:rPr>
      </w:pPr>
    </w:p>
    <w:p w:rsidR="00A45CCE" w:rsidRDefault="00A45CCE" w:rsidP="00A45CCE">
      <w:pPr>
        <w:pStyle w:val="Paragraphedeliste"/>
        <w:numPr>
          <w:ilvl w:val="0"/>
          <w:numId w:val="28"/>
        </w:numPr>
        <w:jc w:val="both"/>
        <w:rPr>
          <w:rFonts w:ascii="Century Gothic" w:hAnsi="Century Gothic"/>
          <w:lang w:val="fr-BE"/>
        </w:rPr>
      </w:pPr>
      <w:r>
        <w:rPr>
          <w:rFonts w:ascii="Century Gothic" w:hAnsi="Century Gothic"/>
          <w:lang w:val="fr-BE"/>
        </w:rPr>
        <w:t xml:space="preserve">Le modèle actuel de tarification du prix de l’énergie vous semble-t-il cohérent ? </w:t>
      </w:r>
      <w:r w:rsidRPr="009E0031">
        <w:rPr>
          <w:rFonts w:ascii="Century Gothic" w:hAnsi="Century Gothic"/>
          <w:lang w:val="fr-BE"/>
        </w:rPr>
        <w:t xml:space="preserve">Le prix de l’énergie en Wallonie est-il, selon vous, un frein </w:t>
      </w:r>
      <w:r>
        <w:rPr>
          <w:rFonts w:ascii="Century Gothic" w:hAnsi="Century Gothic"/>
          <w:lang w:val="fr-BE"/>
        </w:rPr>
        <w:t>à l’accès à l’énergie</w:t>
      </w:r>
      <w:r w:rsidRPr="009E0031">
        <w:rPr>
          <w:rFonts w:ascii="Century Gothic" w:hAnsi="Century Gothic"/>
          <w:lang w:val="fr-BE"/>
        </w:rPr>
        <w:t> ?</w:t>
      </w:r>
      <w:r>
        <w:rPr>
          <w:rFonts w:ascii="Century Gothic" w:hAnsi="Century Gothic"/>
          <w:lang w:val="fr-BE"/>
        </w:rPr>
        <w:t xml:space="preserve"> Quel modèle préconiseriez-vous ?</w:t>
      </w:r>
    </w:p>
    <w:p w:rsidR="00A45CCE" w:rsidRDefault="00A45CCE" w:rsidP="00A45CCE">
      <w:pPr>
        <w:pStyle w:val="Paragraphedeliste"/>
        <w:jc w:val="both"/>
        <w:rPr>
          <w:rFonts w:ascii="Century Gothic" w:hAnsi="Century Gothic"/>
          <w:lang w:val="fr-BE"/>
        </w:rPr>
      </w:pPr>
    </w:p>
    <w:p w:rsidR="007D02F9" w:rsidRPr="009E0031" w:rsidRDefault="007D02F9" w:rsidP="004F3376">
      <w:pPr>
        <w:pStyle w:val="Paragraphedeliste"/>
        <w:numPr>
          <w:ilvl w:val="0"/>
          <w:numId w:val="28"/>
        </w:numPr>
        <w:jc w:val="both"/>
        <w:rPr>
          <w:rFonts w:ascii="Century Gothic" w:hAnsi="Century Gothic"/>
          <w:lang w:val="fr-BE"/>
        </w:rPr>
      </w:pPr>
      <w:r w:rsidRPr="009E0031">
        <w:rPr>
          <w:rFonts w:ascii="Century Gothic" w:hAnsi="Century Gothic"/>
          <w:lang w:val="fr-BE"/>
        </w:rPr>
        <w:t xml:space="preserve">Le prix de l’énergie </w:t>
      </w:r>
      <w:r w:rsidR="00111594" w:rsidRPr="009E0031">
        <w:rPr>
          <w:rFonts w:ascii="Century Gothic" w:hAnsi="Century Gothic"/>
          <w:lang w:val="fr-BE"/>
        </w:rPr>
        <w:t xml:space="preserve">en Wallonie </w:t>
      </w:r>
      <w:r w:rsidRPr="009E0031">
        <w:rPr>
          <w:rFonts w:ascii="Century Gothic" w:hAnsi="Century Gothic"/>
          <w:lang w:val="fr-BE"/>
        </w:rPr>
        <w:t>est-il</w:t>
      </w:r>
      <w:r w:rsidR="00111594" w:rsidRPr="009E0031">
        <w:rPr>
          <w:rFonts w:ascii="Century Gothic" w:hAnsi="Century Gothic"/>
          <w:lang w:val="fr-BE"/>
        </w:rPr>
        <w:t xml:space="preserve">, </w:t>
      </w:r>
      <w:r w:rsidRPr="009E0031">
        <w:rPr>
          <w:rFonts w:ascii="Century Gothic" w:hAnsi="Century Gothic"/>
          <w:lang w:val="fr-BE"/>
        </w:rPr>
        <w:t xml:space="preserve"> </w:t>
      </w:r>
      <w:r w:rsidR="00111594" w:rsidRPr="009E0031">
        <w:rPr>
          <w:rFonts w:ascii="Century Gothic" w:hAnsi="Century Gothic"/>
          <w:lang w:val="fr-BE"/>
        </w:rPr>
        <w:t xml:space="preserve">selon vous, un frein au développement économique ? Pensez-vous que le niveau de taxes et de différentes </w:t>
      </w:r>
      <w:r w:rsidR="00E55DF0">
        <w:rPr>
          <w:rFonts w:ascii="Century Gothic" w:hAnsi="Century Gothic"/>
          <w:lang w:val="fr-BE"/>
        </w:rPr>
        <w:t>contributions</w:t>
      </w:r>
      <w:r w:rsidR="00E55DF0" w:rsidRPr="009E0031">
        <w:rPr>
          <w:rFonts w:ascii="Century Gothic" w:hAnsi="Century Gothic"/>
          <w:lang w:val="fr-BE"/>
        </w:rPr>
        <w:t xml:space="preserve"> </w:t>
      </w:r>
      <w:r w:rsidR="00111594" w:rsidRPr="009E0031">
        <w:rPr>
          <w:rFonts w:ascii="Century Gothic" w:hAnsi="Century Gothic"/>
          <w:lang w:val="fr-BE"/>
        </w:rPr>
        <w:t xml:space="preserve">imputés à </w:t>
      </w:r>
      <w:r w:rsidR="00E955C7">
        <w:rPr>
          <w:rFonts w:ascii="Century Gothic" w:hAnsi="Century Gothic"/>
          <w:lang w:val="fr-BE"/>
        </w:rPr>
        <w:t>l’énergie</w:t>
      </w:r>
      <w:r w:rsidR="00E955C7" w:rsidRPr="009E0031">
        <w:rPr>
          <w:rFonts w:ascii="Century Gothic" w:hAnsi="Century Gothic"/>
          <w:lang w:val="fr-BE"/>
        </w:rPr>
        <w:t xml:space="preserve">  </w:t>
      </w:r>
      <w:r w:rsidR="00111594" w:rsidRPr="009E0031">
        <w:rPr>
          <w:rFonts w:ascii="Century Gothic" w:hAnsi="Century Gothic"/>
          <w:lang w:val="fr-BE"/>
        </w:rPr>
        <w:t xml:space="preserve">crée des distorsions de marché ? Si oui, comment y remédier ? </w:t>
      </w:r>
    </w:p>
    <w:p w:rsidR="00111594" w:rsidRPr="009E0031" w:rsidRDefault="00111594" w:rsidP="004F3376">
      <w:pPr>
        <w:pStyle w:val="Paragraphedeliste"/>
        <w:jc w:val="both"/>
        <w:rPr>
          <w:rFonts w:ascii="Century Gothic" w:hAnsi="Century Gothic"/>
          <w:lang w:val="fr-BE"/>
        </w:rPr>
      </w:pPr>
    </w:p>
    <w:p w:rsidR="00E83647" w:rsidRPr="003D7583" w:rsidRDefault="004C3CF6" w:rsidP="004F3376">
      <w:pPr>
        <w:pStyle w:val="Paragraphedeliste"/>
        <w:numPr>
          <w:ilvl w:val="0"/>
          <w:numId w:val="28"/>
        </w:numPr>
        <w:jc w:val="both"/>
        <w:rPr>
          <w:rFonts w:ascii="Century Gothic" w:hAnsi="Century Gothic"/>
          <w:lang w:val="fr-BE"/>
        </w:rPr>
      </w:pPr>
      <w:r w:rsidRPr="009E0031">
        <w:rPr>
          <w:rFonts w:ascii="Century Gothic" w:hAnsi="Century Gothic"/>
          <w:lang w:val="fr-BE"/>
        </w:rPr>
        <w:t xml:space="preserve">En matière de précarité énergétique, les </w:t>
      </w:r>
      <w:r w:rsidR="003D7583">
        <w:rPr>
          <w:rFonts w:ascii="Century Gothic" w:hAnsi="Century Gothic"/>
          <w:lang w:val="fr-BE"/>
        </w:rPr>
        <w:t>mesures d’aides</w:t>
      </w:r>
      <w:r w:rsidRPr="009E0031">
        <w:rPr>
          <w:rFonts w:ascii="Century Gothic" w:hAnsi="Century Gothic"/>
          <w:lang w:val="fr-BE"/>
        </w:rPr>
        <w:t xml:space="preserve"> existant</w:t>
      </w:r>
      <w:r w:rsidR="004155DE">
        <w:rPr>
          <w:rFonts w:ascii="Century Gothic" w:hAnsi="Century Gothic"/>
          <w:lang w:val="fr-BE"/>
        </w:rPr>
        <w:t>e</w:t>
      </w:r>
      <w:r w:rsidRPr="009E0031">
        <w:rPr>
          <w:rFonts w:ascii="Century Gothic" w:hAnsi="Century Gothic"/>
          <w:lang w:val="fr-BE"/>
        </w:rPr>
        <w:t>s sont-</w:t>
      </w:r>
      <w:r w:rsidR="003D7583">
        <w:rPr>
          <w:rFonts w:ascii="Century Gothic" w:hAnsi="Century Gothic"/>
          <w:lang w:val="fr-BE"/>
        </w:rPr>
        <w:t>elles</w:t>
      </w:r>
      <w:r w:rsidRPr="009E0031">
        <w:rPr>
          <w:rFonts w:ascii="Century Gothic" w:hAnsi="Century Gothic"/>
          <w:lang w:val="fr-BE"/>
        </w:rPr>
        <w:t>, selon vous, adapté</w:t>
      </w:r>
      <w:r w:rsidR="003D7583">
        <w:rPr>
          <w:rFonts w:ascii="Century Gothic" w:hAnsi="Century Gothic"/>
          <w:lang w:val="fr-BE"/>
        </w:rPr>
        <w:t>e</w:t>
      </w:r>
      <w:r w:rsidRPr="009E0031">
        <w:rPr>
          <w:rFonts w:ascii="Century Gothic" w:hAnsi="Century Gothic"/>
          <w:lang w:val="fr-BE"/>
        </w:rPr>
        <w:t xml:space="preserve">s ? </w:t>
      </w:r>
      <w:r w:rsidR="006937F9" w:rsidRPr="006937F9">
        <w:rPr>
          <w:rFonts w:ascii="Century Gothic" w:hAnsi="Century Gothic"/>
          <w:lang w:val="fr-BE"/>
        </w:rPr>
        <w:t xml:space="preserve">Quelles évolutions devraient être apportées, si cela est nécessaire ? </w:t>
      </w:r>
    </w:p>
    <w:p w:rsidR="00821F08" w:rsidRPr="00821F08" w:rsidRDefault="00821F08" w:rsidP="00821F08">
      <w:pPr>
        <w:pStyle w:val="Paragraphedeliste"/>
        <w:rPr>
          <w:rFonts w:ascii="Century Gothic" w:hAnsi="Century Gothic"/>
          <w:lang w:val="fr-BE"/>
        </w:rPr>
      </w:pPr>
    </w:p>
    <w:p w:rsidR="00821F08" w:rsidRDefault="00821F08" w:rsidP="00821F08">
      <w:pPr>
        <w:pStyle w:val="Paragraphedeliste"/>
        <w:numPr>
          <w:ilvl w:val="0"/>
          <w:numId w:val="28"/>
        </w:numPr>
        <w:rPr>
          <w:rFonts w:ascii="Century Gothic" w:hAnsi="Century Gothic"/>
          <w:lang w:val="fr-BE"/>
        </w:rPr>
      </w:pPr>
      <w:r w:rsidRPr="009E0031">
        <w:rPr>
          <w:rFonts w:ascii="Century Gothic" w:hAnsi="Century Gothic"/>
          <w:lang w:val="fr-BE"/>
        </w:rPr>
        <w:t>Les politiques existantes</w:t>
      </w:r>
      <w:r w:rsidR="00E225F6">
        <w:rPr>
          <w:rFonts w:ascii="Century Gothic" w:hAnsi="Century Gothic"/>
          <w:lang w:val="fr-BE"/>
        </w:rPr>
        <w:t xml:space="preserve"> en Wallonie</w:t>
      </w:r>
      <w:r w:rsidRPr="009E0031">
        <w:rPr>
          <w:rFonts w:ascii="Century Gothic" w:hAnsi="Century Gothic"/>
          <w:lang w:val="fr-BE"/>
        </w:rPr>
        <w:t xml:space="preserve"> en matière d’amélioration de gestion des réseaux</w:t>
      </w:r>
      <w:r>
        <w:rPr>
          <w:rFonts w:ascii="Century Gothic" w:hAnsi="Century Gothic"/>
          <w:lang w:val="fr-BE"/>
        </w:rPr>
        <w:t xml:space="preserve"> </w:t>
      </w:r>
      <w:r w:rsidRPr="009E0031">
        <w:rPr>
          <w:rFonts w:ascii="Century Gothic" w:hAnsi="Century Gothic"/>
          <w:lang w:val="fr-BE"/>
        </w:rPr>
        <w:t xml:space="preserve">(efficacité énergétique,  priorité d’accès aux énergies renouvelables et aux installations de cogénération, gestion active de la demande et gestion intelligente des </w:t>
      </w:r>
      <w:proofErr w:type="gramStart"/>
      <w:r w:rsidRPr="009E0031">
        <w:rPr>
          <w:rFonts w:ascii="Century Gothic" w:hAnsi="Century Gothic"/>
          <w:lang w:val="fr-BE"/>
        </w:rPr>
        <w:t>réseaux )</w:t>
      </w:r>
      <w:proofErr w:type="gramEnd"/>
      <w:r>
        <w:rPr>
          <w:rFonts w:ascii="Century Gothic" w:hAnsi="Century Gothic"/>
          <w:lang w:val="fr-BE"/>
        </w:rPr>
        <w:t xml:space="preserve"> </w:t>
      </w:r>
      <w:r w:rsidRPr="009E0031">
        <w:rPr>
          <w:rFonts w:ascii="Century Gothic" w:hAnsi="Century Gothic"/>
          <w:lang w:val="fr-BE"/>
        </w:rPr>
        <w:t xml:space="preserve">sont-elles, selon vous suffisantes ? </w:t>
      </w:r>
      <w:r w:rsidR="00E225F6">
        <w:rPr>
          <w:rFonts w:ascii="Century Gothic" w:hAnsi="Century Gothic"/>
          <w:lang w:val="fr-BE"/>
        </w:rPr>
        <w:t>Pourquoi ?</w:t>
      </w:r>
      <w:r w:rsidR="00A42275">
        <w:rPr>
          <w:rFonts w:ascii="Century Gothic" w:hAnsi="Century Gothic"/>
          <w:lang w:val="fr-BE"/>
        </w:rPr>
        <w:t xml:space="preserve"> </w:t>
      </w:r>
    </w:p>
    <w:p w:rsidR="00A42275" w:rsidRPr="00A42275" w:rsidRDefault="00A42275" w:rsidP="00A42275">
      <w:pPr>
        <w:pStyle w:val="Paragraphedeliste"/>
        <w:rPr>
          <w:rFonts w:ascii="Century Gothic" w:hAnsi="Century Gothic"/>
          <w:lang w:val="fr-BE"/>
        </w:rPr>
      </w:pPr>
    </w:p>
    <w:p w:rsidR="00A42275" w:rsidRPr="009E0031" w:rsidRDefault="00A42275" w:rsidP="00821F08">
      <w:pPr>
        <w:pStyle w:val="Paragraphedeliste"/>
        <w:numPr>
          <w:ilvl w:val="0"/>
          <w:numId w:val="28"/>
        </w:numPr>
        <w:rPr>
          <w:rFonts w:ascii="Century Gothic" w:hAnsi="Century Gothic"/>
          <w:lang w:val="fr-BE"/>
        </w:rPr>
      </w:pPr>
      <w:r>
        <w:rPr>
          <w:rFonts w:ascii="Century Gothic" w:hAnsi="Century Gothic"/>
          <w:lang w:val="fr-BE"/>
        </w:rPr>
        <w:t>Quelles solutions doivent être envisagées pour améliorer la gestion active de la demande et permettre au consommateur</w:t>
      </w:r>
      <w:r w:rsidR="00A9003C">
        <w:rPr>
          <w:rFonts w:ascii="Century Gothic" w:hAnsi="Century Gothic"/>
          <w:lang w:val="fr-BE"/>
        </w:rPr>
        <w:t xml:space="preserve"> qui le souhaite</w:t>
      </w:r>
      <w:r>
        <w:rPr>
          <w:rFonts w:ascii="Century Gothic" w:hAnsi="Century Gothic"/>
          <w:lang w:val="fr-BE"/>
        </w:rPr>
        <w:t xml:space="preserve"> d’être davantage un acteur du marché</w:t>
      </w:r>
      <w:r w:rsidR="00BA28C0">
        <w:rPr>
          <w:rFonts w:ascii="Century Gothic" w:hAnsi="Century Gothic"/>
          <w:lang w:val="fr-BE"/>
        </w:rPr>
        <w:t xml:space="preserve"> sans pour autant pénaliser le consommateur passif</w:t>
      </w:r>
      <w:r>
        <w:rPr>
          <w:rFonts w:ascii="Century Gothic" w:hAnsi="Century Gothic"/>
          <w:lang w:val="fr-BE"/>
        </w:rPr>
        <w:t xml:space="preserve"> ? </w:t>
      </w:r>
    </w:p>
    <w:p w:rsidR="00111594" w:rsidRPr="009E0031" w:rsidRDefault="00111594" w:rsidP="004F3376">
      <w:pPr>
        <w:pStyle w:val="Paragraphedeliste"/>
        <w:jc w:val="both"/>
        <w:rPr>
          <w:rFonts w:ascii="Century Gothic" w:hAnsi="Century Gothic"/>
          <w:lang w:val="fr-BE"/>
        </w:rPr>
      </w:pPr>
    </w:p>
    <w:p w:rsidR="00111594" w:rsidRDefault="00111594" w:rsidP="004F3376">
      <w:pPr>
        <w:pStyle w:val="Paragraphedeliste"/>
        <w:numPr>
          <w:ilvl w:val="0"/>
          <w:numId w:val="28"/>
        </w:numPr>
        <w:jc w:val="both"/>
        <w:rPr>
          <w:rFonts w:ascii="Century Gothic" w:hAnsi="Century Gothic"/>
          <w:lang w:val="fr-BE"/>
        </w:rPr>
      </w:pPr>
      <w:r w:rsidRPr="009E0031">
        <w:rPr>
          <w:rFonts w:ascii="Century Gothic" w:hAnsi="Century Gothic"/>
          <w:lang w:val="fr-BE"/>
        </w:rPr>
        <w:t xml:space="preserve">Comment améliorer la flexibilité du réseau, afin d’y accueillir la production d’énergie intermittente, tout en maîtrisant les coûts, à la fois pour les producteurs et pour les utilisateurs de réseau ? </w:t>
      </w:r>
      <w:r w:rsidR="00CF5ED4">
        <w:rPr>
          <w:rFonts w:ascii="Century Gothic" w:hAnsi="Century Gothic"/>
          <w:lang w:val="fr-BE"/>
        </w:rPr>
        <w:t xml:space="preserve">Le stockage constitue-t-il pour vous une solution ? sous quelle forme ? </w:t>
      </w:r>
    </w:p>
    <w:p w:rsidR="00821F08" w:rsidRDefault="00821F08" w:rsidP="00821F08">
      <w:pPr>
        <w:pStyle w:val="Paragraphedeliste"/>
        <w:jc w:val="both"/>
        <w:rPr>
          <w:rFonts w:ascii="Century Gothic" w:hAnsi="Century Gothic"/>
          <w:lang w:val="fr-BE"/>
        </w:rPr>
      </w:pPr>
    </w:p>
    <w:p w:rsidR="00821F08" w:rsidRPr="00821F08" w:rsidRDefault="00821F08" w:rsidP="00821F08">
      <w:pPr>
        <w:pStyle w:val="Paragraphedeliste"/>
        <w:numPr>
          <w:ilvl w:val="0"/>
          <w:numId w:val="28"/>
        </w:numPr>
        <w:jc w:val="both"/>
        <w:rPr>
          <w:rFonts w:ascii="Century Gothic" w:hAnsi="Century Gothic"/>
          <w:lang w:val="fr-BE"/>
        </w:rPr>
      </w:pPr>
      <w:r w:rsidRPr="009E0031">
        <w:rPr>
          <w:rFonts w:ascii="Century Gothic" w:hAnsi="Century Gothic"/>
          <w:lang w:val="fr-BE"/>
        </w:rPr>
        <w:t xml:space="preserve">Quels avantages voyez-vous dans le déploiement des </w:t>
      </w:r>
      <w:r w:rsidR="00DF0E52">
        <w:rPr>
          <w:rFonts w:ascii="Century Gothic" w:hAnsi="Century Gothic"/>
          <w:lang w:val="fr-BE"/>
        </w:rPr>
        <w:t>« </w:t>
      </w:r>
      <w:r w:rsidRPr="009E0031">
        <w:rPr>
          <w:rFonts w:ascii="Century Gothic" w:hAnsi="Century Gothic"/>
          <w:lang w:val="fr-BE"/>
        </w:rPr>
        <w:t>réseaux intelligents</w:t>
      </w:r>
      <w:r w:rsidR="00DF0E52">
        <w:rPr>
          <w:rFonts w:ascii="Century Gothic" w:hAnsi="Century Gothic"/>
          <w:lang w:val="fr-BE"/>
        </w:rPr>
        <w:t> »</w:t>
      </w:r>
      <w:r w:rsidR="00CC6190">
        <w:rPr>
          <w:rFonts w:ascii="Century Gothic" w:hAnsi="Century Gothic"/>
          <w:lang w:val="fr-BE"/>
        </w:rPr>
        <w:t xml:space="preserve"> et des compteurs </w:t>
      </w:r>
      <w:r w:rsidR="00C82ADC">
        <w:rPr>
          <w:rFonts w:ascii="Century Gothic" w:hAnsi="Century Gothic"/>
          <w:lang w:val="fr-BE"/>
        </w:rPr>
        <w:t>communicants</w:t>
      </w:r>
      <w:r w:rsidR="00C82ADC" w:rsidRPr="009E0031">
        <w:rPr>
          <w:rFonts w:ascii="Century Gothic" w:hAnsi="Century Gothic"/>
          <w:lang w:val="fr-BE"/>
        </w:rPr>
        <w:t> </w:t>
      </w:r>
      <w:r w:rsidRPr="009E0031">
        <w:rPr>
          <w:rFonts w:ascii="Century Gothic" w:hAnsi="Century Gothic"/>
          <w:lang w:val="fr-BE"/>
        </w:rPr>
        <w:t>? Quels sont les principaux obstacles  liés à ce</w:t>
      </w:r>
      <w:r w:rsidR="00CC6190">
        <w:rPr>
          <w:rFonts w:ascii="Century Gothic" w:hAnsi="Century Gothic"/>
          <w:lang w:val="fr-BE"/>
        </w:rPr>
        <w:t>s</w:t>
      </w:r>
      <w:r w:rsidRPr="009E0031">
        <w:rPr>
          <w:rFonts w:ascii="Century Gothic" w:hAnsi="Century Gothic"/>
          <w:lang w:val="fr-BE"/>
        </w:rPr>
        <w:t xml:space="preserve"> déploiement</w:t>
      </w:r>
      <w:r w:rsidR="00CC6190">
        <w:rPr>
          <w:rFonts w:ascii="Century Gothic" w:hAnsi="Century Gothic"/>
          <w:lang w:val="fr-BE"/>
        </w:rPr>
        <w:t>s</w:t>
      </w:r>
      <w:r w:rsidRPr="009E0031">
        <w:rPr>
          <w:rFonts w:ascii="Century Gothic" w:hAnsi="Century Gothic"/>
          <w:lang w:val="fr-BE"/>
        </w:rPr>
        <w:t xml:space="preserve"> ? </w:t>
      </w:r>
    </w:p>
    <w:p w:rsidR="00EA37C1" w:rsidRPr="00821F08" w:rsidRDefault="00EA37C1" w:rsidP="00EA37C1">
      <w:pPr>
        <w:pStyle w:val="Paragraphedeliste"/>
        <w:rPr>
          <w:rFonts w:ascii="Century Gothic" w:hAnsi="Century Gothic"/>
          <w:lang w:val="fr-BE"/>
        </w:rPr>
      </w:pPr>
    </w:p>
    <w:p w:rsidR="000E5F07" w:rsidRDefault="00F712BB" w:rsidP="00CF5ED4">
      <w:pPr>
        <w:pStyle w:val="Paragraphedeliste"/>
        <w:numPr>
          <w:ilvl w:val="0"/>
          <w:numId w:val="28"/>
        </w:numPr>
        <w:jc w:val="both"/>
        <w:rPr>
          <w:rFonts w:ascii="Century Gothic" w:hAnsi="Century Gothic"/>
          <w:lang w:val="fr-BE"/>
        </w:rPr>
      </w:pPr>
      <w:r w:rsidRPr="006A5BC3">
        <w:rPr>
          <w:rFonts w:ascii="Century Gothic" w:hAnsi="Century Gothic"/>
          <w:lang w:val="fr-BE"/>
        </w:rPr>
        <w:t xml:space="preserve">Quels sont, selon vous, les principaux défis que vont rencontrer les gestionnaires de réseau, dans le contexte de transition énergétique que nous connaissons ? Comment y faire face, tout en tenant compte de l’impact sur la facture énergétique ? Quelles évolutions devraient être apportées au métier de </w:t>
      </w:r>
      <w:r w:rsidRPr="006A5BC3">
        <w:rPr>
          <w:rFonts w:ascii="Century Gothic" w:hAnsi="Century Gothic"/>
          <w:lang w:val="fr-BE"/>
        </w:rPr>
        <w:lastRenderedPageBreak/>
        <w:t xml:space="preserve">gestionnaire de réseau de distribution d’énergie ? </w:t>
      </w:r>
      <w:r w:rsidR="005631E1">
        <w:rPr>
          <w:rFonts w:ascii="Century Gothic" w:hAnsi="Century Gothic"/>
          <w:lang w:val="fr-BE"/>
        </w:rPr>
        <w:t>Des</w:t>
      </w:r>
      <w:r w:rsidR="005631E1" w:rsidRPr="006A5BC3">
        <w:rPr>
          <w:rFonts w:ascii="Century Gothic" w:hAnsi="Century Gothic"/>
          <w:lang w:val="fr-BE"/>
        </w:rPr>
        <w:t xml:space="preserve"> </w:t>
      </w:r>
      <w:r w:rsidR="00CF5ED4" w:rsidRPr="006A5BC3">
        <w:rPr>
          <w:rFonts w:ascii="Century Gothic" w:hAnsi="Century Gothic"/>
          <w:lang w:val="fr-BE"/>
        </w:rPr>
        <w:t xml:space="preserve">méthodes de financement </w:t>
      </w:r>
      <w:r w:rsidR="005631E1">
        <w:rPr>
          <w:rFonts w:ascii="Century Gothic" w:hAnsi="Century Gothic"/>
          <w:lang w:val="fr-BE"/>
        </w:rPr>
        <w:t xml:space="preserve">alternatives </w:t>
      </w:r>
      <w:r w:rsidR="00E225F6">
        <w:rPr>
          <w:rFonts w:ascii="Century Gothic" w:hAnsi="Century Gothic"/>
          <w:lang w:val="fr-BE"/>
        </w:rPr>
        <w:t xml:space="preserve">du réseau </w:t>
      </w:r>
      <w:r w:rsidR="00492E7E">
        <w:rPr>
          <w:rFonts w:ascii="Century Gothic" w:hAnsi="Century Gothic"/>
          <w:lang w:val="fr-BE"/>
        </w:rPr>
        <w:t>doivent</w:t>
      </w:r>
      <w:r w:rsidR="004155DE">
        <w:rPr>
          <w:rFonts w:ascii="Century Gothic" w:hAnsi="Century Gothic"/>
          <w:lang w:val="fr-BE"/>
        </w:rPr>
        <w:t>-</w:t>
      </w:r>
      <w:r w:rsidR="00492E7E">
        <w:rPr>
          <w:rFonts w:ascii="Century Gothic" w:hAnsi="Century Gothic"/>
          <w:lang w:val="fr-BE"/>
        </w:rPr>
        <w:t xml:space="preserve"> elles </w:t>
      </w:r>
      <w:r w:rsidR="006A5BC3">
        <w:rPr>
          <w:rFonts w:ascii="Century Gothic" w:hAnsi="Century Gothic"/>
          <w:lang w:val="fr-BE"/>
        </w:rPr>
        <w:t>être envisagées ?</w:t>
      </w:r>
    </w:p>
    <w:p w:rsidR="000E5F07" w:rsidRPr="000E5F07" w:rsidRDefault="000E5F07" w:rsidP="000E5F07">
      <w:pPr>
        <w:pStyle w:val="Paragraphedeliste"/>
        <w:rPr>
          <w:rFonts w:ascii="Century Gothic" w:hAnsi="Century Gothic"/>
          <w:lang w:val="fr-BE"/>
        </w:rPr>
      </w:pPr>
    </w:p>
    <w:p w:rsidR="00CF5ED4" w:rsidRDefault="00CF5ED4" w:rsidP="000E5F07">
      <w:pPr>
        <w:pStyle w:val="Paragraphedeliste"/>
        <w:jc w:val="both"/>
        <w:rPr>
          <w:rFonts w:ascii="Century Gothic" w:hAnsi="Century Gothic"/>
          <w:lang w:val="fr-BE"/>
        </w:rPr>
      </w:pPr>
    </w:p>
    <w:p w:rsidR="00315A0E" w:rsidRDefault="00315A0E" w:rsidP="000E5F07">
      <w:pPr>
        <w:pStyle w:val="Paragraphedeliste"/>
        <w:jc w:val="both"/>
        <w:rPr>
          <w:rFonts w:ascii="Century Gothic" w:hAnsi="Century Gothic"/>
          <w:lang w:val="fr-BE"/>
        </w:rPr>
      </w:pPr>
    </w:p>
    <w:p w:rsidR="00315A0E" w:rsidRDefault="00315A0E" w:rsidP="000E5F07">
      <w:pPr>
        <w:pStyle w:val="Paragraphedeliste"/>
        <w:jc w:val="both"/>
        <w:rPr>
          <w:rFonts w:ascii="Century Gothic" w:hAnsi="Century Gothic"/>
          <w:lang w:val="fr-BE"/>
        </w:rPr>
      </w:pPr>
    </w:p>
    <w:p w:rsidR="00315A0E" w:rsidRDefault="00315A0E" w:rsidP="000E5F07">
      <w:pPr>
        <w:pStyle w:val="Paragraphedeliste"/>
        <w:jc w:val="both"/>
        <w:rPr>
          <w:rFonts w:ascii="Century Gothic" w:hAnsi="Century Gothic"/>
          <w:lang w:val="fr-BE"/>
        </w:rPr>
      </w:pPr>
    </w:p>
    <w:p w:rsidR="00315A0E" w:rsidRDefault="00315A0E" w:rsidP="000E5F07">
      <w:pPr>
        <w:pStyle w:val="Paragraphedeliste"/>
        <w:jc w:val="both"/>
        <w:rPr>
          <w:rFonts w:ascii="Century Gothic" w:hAnsi="Century Gothic"/>
          <w:lang w:val="fr-BE"/>
        </w:rPr>
      </w:pPr>
    </w:p>
    <w:p w:rsidR="00315A0E" w:rsidRDefault="00315A0E" w:rsidP="000E5F07">
      <w:pPr>
        <w:pStyle w:val="Paragraphedeliste"/>
        <w:jc w:val="both"/>
        <w:rPr>
          <w:rFonts w:ascii="Century Gothic" w:hAnsi="Century Gothic"/>
          <w:lang w:val="fr-BE"/>
        </w:rPr>
      </w:pPr>
    </w:p>
    <w:tbl>
      <w:tblPr>
        <w:tblStyle w:val="Grilledutableau"/>
        <w:tblW w:w="0" w:type="auto"/>
        <w:tblInd w:w="720" w:type="dxa"/>
        <w:tblLook w:val="04A0"/>
      </w:tblPr>
      <w:tblGrid>
        <w:gridCol w:w="4403"/>
        <w:gridCol w:w="4308"/>
      </w:tblGrid>
      <w:tr w:rsidR="00315A0E" w:rsidTr="00315A0E">
        <w:tc>
          <w:tcPr>
            <w:tcW w:w="4677" w:type="dxa"/>
          </w:tcPr>
          <w:p w:rsidR="00315A0E" w:rsidRDefault="00315A0E" w:rsidP="000E5F07">
            <w:pPr>
              <w:pStyle w:val="Paragraphedeliste"/>
              <w:ind w:left="0"/>
              <w:jc w:val="both"/>
              <w:rPr>
                <w:rFonts w:ascii="Century Gothic" w:hAnsi="Century Gothic"/>
                <w:lang w:val="fr-BE"/>
              </w:rPr>
            </w:pPr>
            <w:r>
              <w:rPr>
                <w:rFonts w:ascii="Century Gothic" w:hAnsi="Century Gothic"/>
                <w:lang w:val="fr-BE"/>
              </w:rPr>
              <w:t>Nom Organisme</w:t>
            </w:r>
          </w:p>
        </w:tc>
        <w:tc>
          <w:tcPr>
            <w:tcW w:w="4678" w:type="dxa"/>
          </w:tcPr>
          <w:p w:rsidR="00315A0E" w:rsidRDefault="00315A0E" w:rsidP="000E5F07">
            <w:pPr>
              <w:pStyle w:val="Paragraphedeliste"/>
              <w:ind w:left="0"/>
              <w:jc w:val="both"/>
              <w:rPr>
                <w:rFonts w:ascii="Century Gothic" w:hAnsi="Century Gothic"/>
                <w:lang w:val="fr-BE"/>
              </w:rPr>
            </w:pPr>
          </w:p>
        </w:tc>
      </w:tr>
      <w:tr w:rsidR="00315A0E" w:rsidTr="00315A0E">
        <w:tc>
          <w:tcPr>
            <w:tcW w:w="4677" w:type="dxa"/>
          </w:tcPr>
          <w:p w:rsidR="00315A0E" w:rsidRDefault="00315A0E" w:rsidP="000E5F07">
            <w:pPr>
              <w:pStyle w:val="Paragraphedeliste"/>
              <w:ind w:left="0"/>
              <w:jc w:val="both"/>
              <w:rPr>
                <w:rFonts w:ascii="Century Gothic" w:hAnsi="Century Gothic"/>
                <w:lang w:val="fr-BE"/>
              </w:rPr>
            </w:pPr>
            <w:r>
              <w:rPr>
                <w:rFonts w:ascii="Century Gothic" w:hAnsi="Century Gothic"/>
                <w:lang w:val="fr-BE"/>
              </w:rPr>
              <w:t>Personne de contact</w:t>
            </w:r>
          </w:p>
        </w:tc>
        <w:tc>
          <w:tcPr>
            <w:tcW w:w="4678" w:type="dxa"/>
          </w:tcPr>
          <w:p w:rsidR="00315A0E" w:rsidRDefault="00315A0E" w:rsidP="000E5F07">
            <w:pPr>
              <w:pStyle w:val="Paragraphedeliste"/>
              <w:ind w:left="0"/>
              <w:jc w:val="both"/>
              <w:rPr>
                <w:rFonts w:ascii="Century Gothic" w:hAnsi="Century Gothic"/>
                <w:lang w:val="fr-BE"/>
              </w:rPr>
            </w:pPr>
          </w:p>
        </w:tc>
      </w:tr>
      <w:tr w:rsidR="00315A0E" w:rsidTr="00315A0E">
        <w:tc>
          <w:tcPr>
            <w:tcW w:w="4677" w:type="dxa"/>
          </w:tcPr>
          <w:p w:rsidR="00315A0E" w:rsidRDefault="00315A0E" w:rsidP="000E5F07">
            <w:pPr>
              <w:pStyle w:val="Paragraphedeliste"/>
              <w:ind w:left="0"/>
              <w:jc w:val="both"/>
              <w:rPr>
                <w:rFonts w:ascii="Century Gothic" w:hAnsi="Century Gothic"/>
                <w:lang w:val="fr-BE"/>
              </w:rPr>
            </w:pPr>
            <w:r>
              <w:rPr>
                <w:rFonts w:ascii="Century Gothic" w:hAnsi="Century Gothic"/>
                <w:lang w:val="fr-BE"/>
              </w:rPr>
              <w:t>Tel.</w:t>
            </w:r>
          </w:p>
        </w:tc>
        <w:tc>
          <w:tcPr>
            <w:tcW w:w="4678" w:type="dxa"/>
          </w:tcPr>
          <w:p w:rsidR="00315A0E" w:rsidRDefault="00315A0E" w:rsidP="000E5F07">
            <w:pPr>
              <w:pStyle w:val="Paragraphedeliste"/>
              <w:ind w:left="0"/>
              <w:jc w:val="both"/>
              <w:rPr>
                <w:rFonts w:ascii="Century Gothic" w:hAnsi="Century Gothic"/>
                <w:lang w:val="fr-BE"/>
              </w:rPr>
            </w:pPr>
          </w:p>
        </w:tc>
      </w:tr>
      <w:tr w:rsidR="00315A0E" w:rsidTr="00315A0E">
        <w:tc>
          <w:tcPr>
            <w:tcW w:w="4677" w:type="dxa"/>
          </w:tcPr>
          <w:p w:rsidR="00315A0E" w:rsidRDefault="00315A0E" w:rsidP="00315A0E">
            <w:pPr>
              <w:pStyle w:val="Paragraphedeliste"/>
              <w:ind w:left="0"/>
              <w:jc w:val="both"/>
              <w:rPr>
                <w:rFonts w:ascii="Century Gothic" w:hAnsi="Century Gothic"/>
                <w:lang w:val="fr-BE"/>
              </w:rPr>
            </w:pPr>
            <w:r>
              <w:rPr>
                <w:rFonts w:ascii="Century Gothic" w:hAnsi="Century Gothic"/>
                <w:lang w:val="fr-BE"/>
              </w:rPr>
              <w:t>Mail</w:t>
            </w:r>
          </w:p>
        </w:tc>
        <w:tc>
          <w:tcPr>
            <w:tcW w:w="4678" w:type="dxa"/>
          </w:tcPr>
          <w:p w:rsidR="00315A0E" w:rsidRDefault="00315A0E" w:rsidP="000E5F07">
            <w:pPr>
              <w:pStyle w:val="Paragraphedeliste"/>
              <w:ind w:left="0"/>
              <w:jc w:val="both"/>
              <w:rPr>
                <w:rFonts w:ascii="Century Gothic" w:hAnsi="Century Gothic"/>
                <w:lang w:val="fr-BE"/>
              </w:rPr>
            </w:pPr>
          </w:p>
        </w:tc>
      </w:tr>
      <w:tr w:rsidR="00315A0E" w:rsidTr="00315A0E">
        <w:tc>
          <w:tcPr>
            <w:tcW w:w="4677" w:type="dxa"/>
          </w:tcPr>
          <w:p w:rsidR="00315A0E" w:rsidRDefault="00315A0E" w:rsidP="000E5F07">
            <w:pPr>
              <w:pStyle w:val="Paragraphedeliste"/>
              <w:ind w:left="0"/>
              <w:jc w:val="both"/>
              <w:rPr>
                <w:rFonts w:ascii="Century Gothic" w:hAnsi="Century Gothic"/>
                <w:lang w:val="fr-BE"/>
              </w:rPr>
            </w:pPr>
            <w:r>
              <w:rPr>
                <w:rFonts w:ascii="Century Gothic" w:hAnsi="Century Gothic"/>
                <w:lang w:val="fr-BE"/>
              </w:rPr>
              <w:t>Mes réponses  sont confidentielles</w:t>
            </w:r>
          </w:p>
          <w:p w:rsidR="00315A0E" w:rsidRPr="00315A0E" w:rsidRDefault="00315A0E" w:rsidP="000E5F07">
            <w:pPr>
              <w:pStyle w:val="Paragraphedeliste"/>
              <w:ind w:left="0"/>
              <w:jc w:val="both"/>
              <w:rPr>
                <w:rFonts w:ascii="Century Gothic" w:hAnsi="Century Gothic"/>
                <w:sz w:val="16"/>
                <w:szCs w:val="16"/>
                <w:lang w:val="fr-BE"/>
              </w:rPr>
            </w:pPr>
            <w:r w:rsidRPr="00315A0E">
              <w:rPr>
                <w:rFonts w:ascii="Century Gothic" w:hAnsi="Century Gothic"/>
                <w:sz w:val="16"/>
                <w:szCs w:val="16"/>
                <w:lang w:val="fr-BE"/>
              </w:rPr>
              <w:t>(biffer la mention inutile)</w:t>
            </w:r>
          </w:p>
        </w:tc>
        <w:tc>
          <w:tcPr>
            <w:tcW w:w="4678" w:type="dxa"/>
          </w:tcPr>
          <w:p w:rsidR="00315A0E" w:rsidRDefault="00315A0E" w:rsidP="000E5F07">
            <w:pPr>
              <w:pStyle w:val="Paragraphedeliste"/>
              <w:ind w:left="0"/>
              <w:jc w:val="both"/>
              <w:rPr>
                <w:rFonts w:ascii="Century Gothic" w:hAnsi="Century Gothic"/>
                <w:lang w:val="fr-BE"/>
              </w:rPr>
            </w:pPr>
            <w:r>
              <w:rPr>
                <w:rFonts w:ascii="Century Gothic" w:hAnsi="Century Gothic"/>
                <w:lang w:val="fr-BE"/>
              </w:rPr>
              <w:t>OUI- NON</w:t>
            </w:r>
          </w:p>
        </w:tc>
      </w:tr>
    </w:tbl>
    <w:p w:rsidR="00315A0E" w:rsidRPr="006A5BC3" w:rsidRDefault="00315A0E" w:rsidP="000E5F07">
      <w:pPr>
        <w:pStyle w:val="Paragraphedeliste"/>
        <w:jc w:val="both"/>
        <w:rPr>
          <w:rFonts w:ascii="Century Gothic" w:hAnsi="Century Gothic"/>
          <w:lang w:val="fr-BE"/>
        </w:rPr>
      </w:pPr>
    </w:p>
    <w:p w:rsidR="009E0031" w:rsidRPr="009E0031" w:rsidRDefault="009E0031" w:rsidP="009E0031">
      <w:pPr>
        <w:pStyle w:val="Paragraphedeliste"/>
        <w:rPr>
          <w:rFonts w:ascii="Century Gothic" w:hAnsi="Century Gothic"/>
          <w:i/>
          <w:lang w:val="fr-BE"/>
        </w:rPr>
      </w:pPr>
    </w:p>
    <w:p w:rsidR="00F712BB" w:rsidRPr="009E0031" w:rsidRDefault="00F712BB" w:rsidP="00F712BB">
      <w:pPr>
        <w:pStyle w:val="Paragraphedeliste"/>
        <w:rPr>
          <w:rFonts w:ascii="Century Gothic" w:hAnsi="Century Gothic"/>
          <w:i/>
          <w:lang w:val="fr-BE"/>
        </w:rPr>
      </w:pPr>
    </w:p>
    <w:p w:rsidR="004C3CF6" w:rsidRPr="009E0031" w:rsidRDefault="004C3CF6" w:rsidP="00E83647">
      <w:pPr>
        <w:rPr>
          <w:rFonts w:ascii="Century Gothic" w:hAnsi="Century Gothic"/>
          <w:i/>
        </w:rPr>
      </w:pPr>
    </w:p>
    <w:p w:rsidR="004C3CF6" w:rsidRPr="00F712BB" w:rsidRDefault="004C3CF6" w:rsidP="00E83647">
      <w:pPr>
        <w:rPr>
          <w:i/>
        </w:rPr>
      </w:pPr>
    </w:p>
    <w:p w:rsidR="00E83647" w:rsidRDefault="00E83647" w:rsidP="00E83647"/>
    <w:p w:rsidR="00E83647" w:rsidRDefault="00E83647" w:rsidP="00E83647"/>
    <w:p w:rsidR="00E83647" w:rsidRDefault="00E83647" w:rsidP="00E83647"/>
    <w:p w:rsidR="00E83647" w:rsidRDefault="00E83647" w:rsidP="00E83647"/>
    <w:p w:rsidR="00E83647" w:rsidRPr="00E83647" w:rsidRDefault="00E83647" w:rsidP="00E83647"/>
    <w:sectPr w:rsidR="00E83647" w:rsidRPr="00E83647" w:rsidSect="00E83647">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1CD" w:rsidRDefault="000771CD" w:rsidP="005B4EEA">
      <w:pPr>
        <w:spacing w:after="0" w:line="240" w:lineRule="auto"/>
      </w:pPr>
      <w:r>
        <w:separator/>
      </w:r>
    </w:p>
  </w:endnote>
  <w:endnote w:type="continuationSeparator" w:id="0">
    <w:p w:rsidR="000771CD" w:rsidRDefault="000771CD" w:rsidP="005B4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Roboto-Light">
    <w:panose1 w:val="00000000000000000000"/>
    <w:charset w:val="00"/>
    <w:family w:val="swiss"/>
    <w:notTrueType/>
    <w:pitch w:val="default"/>
    <w:sig w:usb0="00000003" w:usb1="00000000" w:usb2="00000000" w:usb3="00000000" w:csb0="00000001" w:csb1="00000000"/>
  </w:font>
  <w:font w:name="AvenirLT-Light">
    <w:altName w:val="MS Gothic"/>
    <w:panose1 w:val="00000000000000000000"/>
    <w:charset w:val="80"/>
    <w:family w:val="swiss"/>
    <w:notTrueType/>
    <w:pitch w:val="default"/>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4695"/>
      <w:docPartObj>
        <w:docPartGallery w:val="Page Numbers (Bottom of Page)"/>
        <w:docPartUnique/>
      </w:docPartObj>
    </w:sdtPr>
    <w:sdtContent>
      <w:p w:rsidR="00D73579" w:rsidRDefault="006937F9">
        <w:pPr>
          <w:pStyle w:val="Pieddepage"/>
          <w:jc w:val="right"/>
        </w:pPr>
        <w:r>
          <w:fldChar w:fldCharType="begin"/>
        </w:r>
        <w:r w:rsidR="007A1318">
          <w:instrText xml:space="preserve"> PAGE   \* MERGEFORMAT </w:instrText>
        </w:r>
        <w:r>
          <w:fldChar w:fldCharType="separate"/>
        </w:r>
        <w:r w:rsidR="00AE21FA">
          <w:rPr>
            <w:noProof/>
          </w:rPr>
          <w:t>1</w:t>
        </w:r>
        <w:r>
          <w:rPr>
            <w:noProof/>
          </w:rPr>
          <w:fldChar w:fldCharType="end"/>
        </w:r>
      </w:p>
    </w:sdtContent>
  </w:sdt>
  <w:p w:rsidR="00D73579" w:rsidRDefault="00D7357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9713"/>
      <w:docPartObj>
        <w:docPartGallery w:val="Page Numbers (Bottom of Page)"/>
        <w:docPartUnique/>
      </w:docPartObj>
    </w:sdtPr>
    <w:sdtContent>
      <w:p w:rsidR="00D73579" w:rsidRDefault="006937F9">
        <w:pPr>
          <w:pStyle w:val="Pieddepage"/>
          <w:jc w:val="right"/>
        </w:pPr>
        <w:r>
          <w:fldChar w:fldCharType="begin"/>
        </w:r>
        <w:r w:rsidR="007A1318">
          <w:instrText xml:space="preserve"> PAGE   \* MERGEFORMAT </w:instrText>
        </w:r>
        <w:r>
          <w:fldChar w:fldCharType="separate"/>
        </w:r>
        <w:r w:rsidR="00AE21FA">
          <w:rPr>
            <w:noProof/>
          </w:rPr>
          <w:t>18</w:t>
        </w:r>
        <w:r>
          <w:rPr>
            <w:noProof/>
          </w:rPr>
          <w:fldChar w:fldCharType="end"/>
        </w:r>
      </w:p>
    </w:sdtContent>
  </w:sdt>
  <w:p w:rsidR="00D73579" w:rsidRDefault="00D735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1CD" w:rsidRDefault="000771CD" w:rsidP="005B4EEA">
      <w:pPr>
        <w:spacing w:after="0" w:line="240" w:lineRule="auto"/>
      </w:pPr>
      <w:r>
        <w:separator/>
      </w:r>
    </w:p>
  </w:footnote>
  <w:footnote w:type="continuationSeparator" w:id="0">
    <w:p w:rsidR="000771CD" w:rsidRDefault="000771CD" w:rsidP="005B4EEA">
      <w:pPr>
        <w:spacing w:after="0" w:line="240" w:lineRule="auto"/>
      </w:pPr>
      <w:r>
        <w:continuationSeparator/>
      </w:r>
    </w:p>
  </w:footnote>
  <w:footnote w:id="1">
    <w:p w:rsidR="003A781A" w:rsidRPr="005A3965" w:rsidRDefault="003A781A">
      <w:pPr>
        <w:pStyle w:val="Notedebasdepage"/>
        <w:rPr>
          <w:lang w:val="fr-BE"/>
        </w:rPr>
      </w:pPr>
      <w:r>
        <w:rPr>
          <w:rStyle w:val="Appelnotedebasdep"/>
        </w:rPr>
        <w:footnoteRef/>
      </w:r>
      <w:r w:rsidRPr="005A3965">
        <w:rPr>
          <w:lang w:val="fr-BE"/>
        </w:rPr>
        <w:t xml:space="preserve"> </w:t>
      </w:r>
      <w:r>
        <w:rPr>
          <w:lang w:val="fr-BE"/>
        </w:rPr>
        <w:t xml:space="preserve">Remarque: les CPAS font également l’objet d’un financement, via le fonds fédéral énergie.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CAB"/>
    <w:multiLevelType w:val="hybridMultilevel"/>
    <w:tmpl w:val="3CB8B482"/>
    <w:lvl w:ilvl="0" w:tplc="1262A48C">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264E29"/>
    <w:multiLevelType w:val="multilevel"/>
    <w:tmpl w:val="74C6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93D80"/>
    <w:multiLevelType w:val="hybridMultilevel"/>
    <w:tmpl w:val="4B58CDA8"/>
    <w:lvl w:ilvl="0" w:tplc="664C0B78">
      <w:start w:val="8"/>
      <w:numFmt w:val="bullet"/>
      <w:lvlText w:val="-"/>
      <w:lvlJc w:val="left"/>
      <w:pPr>
        <w:ind w:left="360" w:hanging="360"/>
      </w:pPr>
      <w:rPr>
        <w:rFonts w:ascii="Century" w:eastAsia="Times New Roman" w:hAnsi="Century"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8B75B83"/>
    <w:multiLevelType w:val="hybridMultilevel"/>
    <w:tmpl w:val="EC24DF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A51587D"/>
    <w:multiLevelType w:val="multilevel"/>
    <w:tmpl w:val="FA00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77E08"/>
    <w:multiLevelType w:val="hybridMultilevel"/>
    <w:tmpl w:val="9F90DB50"/>
    <w:lvl w:ilvl="0" w:tplc="080C0003">
      <w:start w:val="1"/>
      <w:numFmt w:val="bullet"/>
      <w:lvlText w:val="o"/>
      <w:lvlJc w:val="left"/>
      <w:pPr>
        <w:ind w:left="928" w:hanging="360"/>
      </w:pPr>
      <w:rPr>
        <w:rFonts w:ascii="Courier New" w:hAnsi="Courier New" w:cs="Courier New"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6">
    <w:nsid w:val="20F50125"/>
    <w:multiLevelType w:val="hybridMultilevel"/>
    <w:tmpl w:val="1A98B47E"/>
    <w:lvl w:ilvl="0" w:tplc="1262A48C">
      <w:start w:val="3"/>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40E5FD7"/>
    <w:multiLevelType w:val="hybridMultilevel"/>
    <w:tmpl w:val="174AF00A"/>
    <w:lvl w:ilvl="0" w:tplc="4DB0B404">
      <w:start w:val="1"/>
      <w:numFmt w:val="lowerLetter"/>
      <w:lvlText w:val="%1)"/>
      <w:lvlJc w:val="left"/>
      <w:pPr>
        <w:ind w:left="1634" w:hanging="360"/>
      </w:pPr>
      <w:rPr>
        <w:rFonts w:hint="default"/>
        <w:b w:val="0"/>
      </w:rPr>
    </w:lvl>
    <w:lvl w:ilvl="1" w:tplc="080C0019" w:tentative="1">
      <w:start w:val="1"/>
      <w:numFmt w:val="lowerLetter"/>
      <w:lvlText w:val="%2."/>
      <w:lvlJc w:val="left"/>
      <w:pPr>
        <w:ind w:left="2004" w:hanging="360"/>
      </w:pPr>
    </w:lvl>
    <w:lvl w:ilvl="2" w:tplc="080C001B" w:tentative="1">
      <w:start w:val="1"/>
      <w:numFmt w:val="lowerRoman"/>
      <w:lvlText w:val="%3."/>
      <w:lvlJc w:val="right"/>
      <w:pPr>
        <w:ind w:left="2724" w:hanging="180"/>
      </w:pPr>
    </w:lvl>
    <w:lvl w:ilvl="3" w:tplc="080C000F" w:tentative="1">
      <w:start w:val="1"/>
      <w:numFmt w:val="decimal"/>
      <w:lvlText w:val="%4."/>
      <w:lvlJc w:val="left"/>
      <w:pPr>
        <w:ind w:left="3444" w:hanging="360"/>
      </w:pPr>
    </w:lvl>
    <w:lvl w:ilvl="4" w:tplc="080C0019" w:tentative="1">
      <w:start w:val="1"/>
      <w:numFmt w:val="lowerLetter"/>
      <w:lvlText w:val="%5."/>
      <w:lvlJc w:val="left"/>
      <w:pPr>
        <w:ind w:left="4164" w:hanging="360"/>
      </w:pPr>
    </w:lvl>
    <w:lvl w:ilvl="5" w:tplc="080C001B" w:tentative="1">
      <w:start w:val="1"/>
      <w:numFmt w:val="lowerRoman"/>
      <w:lvlText w:val="%6."/>
      <w:lvlJc w:val="right"/>
      <w:pPr>
        <w:ind w:left="4884" w:hanging="180"/>
      </w:pPr>
    </w:lvl>
    <w:lvl w:ilvl="6" w:tplc="080C000F" w:tentative="1">
      <w:start w:val="1"/>
      <w:numFmt w:val="decimal"/>
      <w:lvlText w:val="%7."/>
      <w:lvlJc w:val="left"/>
      <w:pPr>
        <w:ind w:left="5604" w:hanging="360"/>
      </w:pPr>
    </w:lvl>
    <w:lvl w:ilvl="7" w:tplc="080C0019" w:tentative="1">
      <w:start w:val="1"/>
      <w:numFmt w:val="lowerLetter"/>
      <w:lvlText w:val="%8."/>
      <w:lvlJc w:val="left"/>
      <w:pPr>
        <w:ind w:left="6324" w:hanging="360"/>
      </w:pPr>
    </w:lvl>
    <w:lvl w:ilvl="8" w:tplc="080C001B" w:tentative="1">
      <w:start w:val="1"/>
      <w:numFmt w:val="lowerRoman"/>
      <w:lvlText w:val="%9."/>
      <w:lvlJc w:val="right"/>
      <w:pPr>
        <w:ind w:left="7044" w:hanging="180"/>
      </w:pPr>
    </w:lvl>
  </w:abstractNum>
  <w:abstractNum w:abstractNumId="8">
    <w:nsid w:val="24882CED"/>
    <w:multiLevelType w:val="multilevel"/>
    <w:tmpl w:val="87486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DE79F8"/>
    <w:multiLevelType w:val="hybridMultilevel"/>
    <w:tmpl w:val="6F36E1A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2A7865AD"/>
    <w:multiLevelType w:val="multilevel"/>
    <w:tmpl w:val="B16ADD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BE76F18"/>
    <w:multiLevelType w:val="hybridMultilevel"/>
    <w:tmpl w:val="72104F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1BE0F32"/>
    <w:multiLevelType w:val="hybridMultilevel"/>
    <w:tmpl w:val="4FD61A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24E112C"/>
    <w:multiLevelType w:val="hybridMultilevel"/>
    <w:tmpl w:val="A51A4B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ABF6C8A"/>
    <w:multiLevelType w:val="hybridMultilevel"/>
    <w:tmpl w:val="ACAA71C8"/>
    <w:lvl w:ilvl="0" w:tplc="A9FA51E2">
      <w:start w:val="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2E45D1E"/>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E74D6C"/>
    <w:multiLevelType w:val="hybridMultilevel"/>
    <w:tmpl w:val="F124A6C4"/>
    <w:lvl w:ilvl="0" w:tplc="080C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rPr>
        <w:rFonts w:hint="default"/>
        <w:b/>
      </w:rPr>
    </w:lvl>
    <w:lvl w:ilvl="2" w:tplc="080C0001">
      <w:start w:val="1"/>
      <w:numFmt w:val="bullet"/>
      <w:lvlText w:val=""/>
      <w:lvlJc w:val="left"/>
      <w:pPr>
        <w:tabs>
          <w:tab w:val="num" w:pos="2355"/>
        </w:tabs>
        <w:ind w:left="2355" w:hanging="735"/>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9652D6"/>
    <w:multiLevelType w:val="multilevel"/>
    <w:tmpl w:val="072802AA"/>
    <w:lvl w:ilvl="0">
      <w:start w:val="1"/>
      <w:numFmt w:val="decimal"/>
      <w:lvlText w:val="%1."/>
      <w:lvlJc w:val="left"/>
      <w:pPr>
        <w:ind w:left="360" w:hanging="360"/>
      </w:pPr>
      <w:rPr>
        <w:rFonts w:asciiTheme="minorHAnsi" w:hAnsiTheme="minorHAnsi"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Roman"/>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E43D09"/>
    <w:multiLevelType w:val="hybridMultilevel"/>
    <w:tmpl w:val="676AB9D0"/>
    <w:lvl w:ilvl="0" w:tplc="9BC450CE">
      <w:numFmt w:val="bullet"/>
      <w:lvlText w:val="-"/>
      <w:lvlJc w:val="left"/>
      <w:pPr>
        <w:ind w:left="720" w:hanging="360"/>
      </w:pPr>
      <w:rPr>
        <w:rFonts w:ascii="Cambria" w:eastAsiaTheme="majorEastAsia" w:hAnsi="Cambria" w:cstheme="maj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701010C"/>
    <w:multiLevelType w:val="hybridMultilevel"/>
    <w:tmpl w:val="CAC20A20"/>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nsid w:val="5C8D577B"/>
    <w:multiLevelType w:val="singleLevel"/>
    <w:tmpl w:val="73B0BEF0"/>
    <w:lvl w:ilvl="0">
      <w:start w:val="1"/>
      <w:numFmt w:val="bullet"/>
      <w:lvlText w:val="-"/>
      <w:lvlJc w:val="left"/>
      <w:pPr>
        <w:tabs>
          <w:tab w:val="num" w:pos="360"/>
        </w:tabs>
        <w:ind w:left="360" w:hanging="360"/>
      </w:pPr>
      <w:rPr>
        <w:rFonts w:ascii="Times New Roman" w:hAnsi="Times New Roman" w:hint="default"/>
      </w:rPr>
    </w:lvl>
  </w:abstractNum>
  <w:abstractNum w:abstractNumId="21">
    <w:nsid w:val="5E3F6E5B"/>
    <w:multiLevelType w:val="multilevel"/>
    <w:tmpl w:val="BD1EE2F8"/>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5EB2C53"/>
    <w:multiLevelType w:val="hybridMultilevel"/>
    <w:tmpl w:val="42A04A28"/>
    <w:lvl w:ilvl="0" w:tplc="9BC450CE">
      <w:numFmt w:val="bullet"/>
      <w:lvlText w:val="-"/>
      <w:lvlJc w:val="left"/>
      <w:pPr>
        <w:ind w:left="720" w:hanging="360"/>
      </w:pPr>
      <w:rPr>
        <w:rFonts w:ascii="Cambria" w:eastAsiaTheme="majorEastAsia" w:hAnsi="Cambria" w:cstheme="maj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6411802"/>
    <w:multiLevelType w:val="hybridMultilevel"/>
    <w:tmpl w:val="DD44341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A285409"/>
    <w:multiLevelType w:val="multilevel"/>
    <w:tmpl w:val="24D8C49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C762E70"/>
    <w:multiLevelType w:val="hybridMultilevel"/>
    <w:tmpl w:val="75BE9974"/>
    <w:lvl w:ilvl="0" w:tplc="080C0001">
      <w:start w:val="1"/>
      <w:numFmt w:val="bullet"/>
      <w:lvlText w:val=""/>
      <w:lvlJc w:val="left"/>
      <w:pPr>
        <w:ind w:left="720" w:hanging="360"/>
      </w:pPr>
      <w:rPr>
        <w:rFonts w:ascii="Symbol" w:hAnsi="Symbol" w:hint="default"/>
      </w:rPr>
    </w:lvl>
    <w:lvl w:ilvl="1" w:tplc="A4EA1A14">
      <w:start w:val="1"/>
      <w:numFmt w:val="decimal"/>
      <w:lvlText w:val="%2)"/>
      <w:lvlJc w:val="left"/>
      <w:pPr>
        <w:tabs>
          <w:tab w:val="num" w:pos="1440"/>
        </w:tabs>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2E75326"/>
    <w:multiLevelType w:val="hybridMultilevel"/>
    <w:tmpl w:val="5118840C"/>
    <w:lvl w:ilvl="0" w:tplc="FD2061E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38C0EAF"/>
    <w:multiLevelType w:val="hybridMultilevel"/>
    <w:tmpl w:val="53765174"/>
    <w:lvl w:ilvl="0" w:tplc="918C1C38">
      <w:start w:val="1"/>
      <w:numFmt w:val="decimal"/>
      <w:lvlText w:val="%1)"/>
      <w:lvlJc w:val="left"/>
      <w:pPr>
        <w:ind w:left="1353" w:hanging="36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28">
    <w:nsid w:val="757D16FC"/>
    <w:multiLevelType w:val="hybridMultilevel"/>
    <w:tmpl w:val="085281EA"/>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5C31C90"/>
    <w:multiLevelType w:val="hybridMultilevel"/>
    <w:tmpl w:val="B23C2B52"/>
    <w:lvl w:ilvl="0" w:tplc="50B45B2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18"/>
  </w:num>
  <w:num w:numId="5">
    <w:abstractNumId w:val="8"/>
  </w:num>
  <w:num w:numId="6">
    <w:abstractNumId w:val="15"/>
  </w:num>
  <w:num w:numId="7">
    <w:abstractNumId w:val="2"/>
  </w:num>
  <w:num w:numId="8">
    <w:abstractNumId w:val="28"/>
  </w:num>
  <w:num w:numId="9">
    <w:abstractNumId w:val="5"/>
  </w:num>
  <w:num w:numId="10">
    <w:abstractNumId w:val="19"/>
  </w:num>
  <w:num w:numId="11">
    <w:abstractNumId w:val="25"/>
  </w:num>
  <w:num w:numId="12">
    <w:abstractNumId w:val="0"/>
  </w:num>
  <w:num w:numId="13">
    <w:abstractNumId w:val="16"/>
  </w:num>
  <w:num w:numId="14">
    <w:abstractNumId w:val="11"/>
  </w:num>
  <w:num w:numId="15">
    <w:abstractNumId w:val="6"/>
  </w:num>
  <w:num w:numId="16">
    <w:abstractNumId w:val="9"/>
  </w:num>
  <w:num w:numId="17">
    <w:abstractNumId w:val="29"/>
  </w:num>
  <w:num w:numId="18">
    <w:abstractNumId w:val="20"/>
  </w:num>
  <w:num w:numId="19">
    <w:abstractNumId w:val="7"/>
  </w:num>
  <w:num w:numId="20">
    <w:abstractNumId w:val="27"/>
  </w:num>
  <w:num w:numId="21">
    <w:abstractNumId w:val="3"/>
  </w:num>
  <w:num w:numId="22">
    <w:abstractNumId w:val="22"/>
  </w:num>
  <w:num w:numId="23">
    <w:abstractNumId w:val="10"/>
  </w:num>
  <w:num w:numId="24">
    <w:abstractNumId w:val="24"/>
  </w:num>
  <w:num w:numId="25">
    <w:abstractNumId w:val="21"/>
  </w:num>
  <w:num w:numId="26">
    <w:abstractNumId w:val="26"/>
  </w:num>
  <w:num w:numId="27">
    <w:abstractNumId w:val="23"/>
  </w:num>
  <w:num w:numId="28">
    <w:abstractNumId w:val="13"/>
  </w:num>
  <w:num w:numId="29">
    <w:abstractNumId w:val="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154B1"/>
    <w:rsid w:val="00011FF6"/>
    <w:rsid w:val="00015FA9"/>
    <w:rsid w:val="00023A70"/>
    <w:rsid w:val="00031D1F"/>
    <w:rsid w:val="00056844"/>
    <w:rsid w:val="00065CC3"/>
    <w:rsid w:val="000771CD"/>
    <w:rsid w:val="000906D7"/>
    <w:rsid w:val="000C4E04"/>
    <w:rsid w:val="000D2AC4"/>
    <w:rsid w:val="000D5D97"/>
    <w:rsid w:val="000D780B"/>
    <w:rsid w:val="000E5F07"/>
    <w:rsid w:val="000E6AB0"/>
    <w:rsid w:val="00111594"/>
    <w:rsid w:val="00125195"/>
    <w:rsid w:val="0012526D"/>
    <w:rsid w:val="001252A9"/>
    <w:rsid w:val="00137B17"/>
    <w:rsid w:val="00140EFC"/>
    <w:rsid w:val="00144303"/>
    <w:rsid w:val="00151C4B"/>
    <w:rsid w:val="0015276C"/>
    <w:rsid w:val="001649A2"/>
    <w:rsid w:val="0016690D"/>
    <w:rsid w:val="00172D2E"/>
    <w:rsid w:val="00181907"/>
    <w:rsid w:val="00185982"/>
    <w:rsid w:val="00185BF3"/>
    <w:rsid w:val="00192E26"/>
    <w:rsid w:val="00195772"/>
    <w:rsid w:val="001976CE"/>
    <w:rsid w:val="001A282A"/>
    <w:rsid w:val="001A2E80"/>
    <w:rsid w:val="001A49DE"/>
    <w:rsid w:val="001C1FBC"/>
    <w:rsid w:val="001E3CDD"/>
    <w:rsid w:val="001F3384"/>
    <w:rsid w:val="00200E6B"/>
    <w:rsid w:val="002109F9"/>
    <w:rsid w:val="00211728"/>
    <w:rsid w:val="00217D50"/>
    <w:rsid w:val="00222A42"/>
    <w:rsid w:val="00227C99"/>
    <w:rsid w:val="00230E01"/>
    <w:rsid w:val="002436A9"/>
    <w:rsid w:val="0024606A"/>
    <w:rsid w:val="002641AF"/>
    <w:rsid w:val="002724BB"/>
    <w:rsid w:val="00290702"/>
    <w:rsid w:val="00292943"/>
    <w:rsid w:val="00297A10"/>
    <w:rsid w:val="002A13DA"/>
    <w:rsid w:val="002A6022"/>
    <w:rsid w:val="002E09D4"/>
    <w:rsid w:val="002E1502"/>
    <w:rsid w:val="002E7DC9"/>
    <w:rsid w:val="002E7FD3"/>
    <w:rsid w:val="002F38FC"/>
    <w:rsid w:val="00315A0E"/>
    <w:rsid w:val="00320D69"/>
    <w:rsid w:val="0033110E"/>
    <w:rsid w:val="003356F3"/>
    <w:rsid w:val="0034031C"/>
    <w:rsid w:val="0034319D"/>
    <w:rsid w:val="0034652A"/>
    <w:rsid w:val="0034745F"/>
    <w:rsid w:val="00347EC0"/>
    <w:rsid w:val="00361D7C"/>
    <w:rsid w:val="00367A15"/>
    <w:rsid w:val="0039756F"/>
    <w:rsid w:val="003A72B4"/>
    <w:rsid w:val="003A781A"/>
    <w:rsid w:val="003B0C64"/>
    <w:rsid w:val="003B6473"/>
    <w:rsid w:val="003C3179"/>
    <w:rsid w:val="003C3919"/>
    <w:rsid w:val="003C401F"/>
    <w:rsid w:val="003C7D75"/>
    <w:rsid w:val="003D19A7"/>
    <w:rsid w:val="003D6D67"/>
    <w:rsid w:val="003D7583"/>
    <w:rsid w:val="003E6AF1"/>
    <w:rsid w:val="003F3B59"/>
    <w:rsid w:val="004155DE"/>
    <w:rsid w:val="00417651"/>
    <w:rsid w:val="00421E85"/>
    <w:rsid w:val="0045284B"/>
    <w:rsid w:val="00472F17"/>
    <w:rsid w:val="004834B3"/>
    <w:rsid w:val="00492E7E"/>
    <w:rsid w:val="004B5E4D"/>
    <w:rsid w:val="004C3CF6"/>
    <w:rsid w:val="004E458F"/>
    <w:rsid w:val="004E5BC5"/>
    <w:rsid w:val="004F2A77"/>
    <w:rsid w:val="004F3376"/>
    <w:rsid w:val="004F68C7"/>
    <w:rsid w:val="004F6A29"/>
    <w:rsid w:val="005022DE"/>
    <w:rsid w:val="00505F54"/>
    <w:rsid w:val="005074B1"/>
    <w:rsid w:val="00531319"/>
    <w:rsid w:val="005356D1"/>
    <w:rsid w:val="0054004B"/>
    <w:rsid w:val="0054237E"/>
    <w:rsid w:val="00551259"/>
    <w:rsid w:val="00557611"/>
    <w:rsid w:val="005609A6"/>
    <w:rsid w:val="005631E1"/>
    <w:rsid w:val="00565470"/>
    <w:rsid w:val="0057183B"/>
    <w:rsid w:val="0058589D"/>
    <w:rsid w:val="00591548"/>
    <w:rsid w:val="00597FFD"/>
    <w:rsid w:val="005A34A2"/>
    <w:rsid w:val="005A3965"/>
    <w:rsid w:val="005A6D96"/>
    <w:rsid w:val="005B4EEA"/>
    <w:rsid w:val="005C28F8"/>
    <w:rsid w:val="005C47BA"/>
    <w:rsid w:val="005D0635"/>
    <w:rsid w:val="005D1C93"/>
    <w:rsid w:val="005E172E"/>
    <w:rsid w:val="005E2655"/>
    <w:rsid w:val="005E75D1"/>
    <w:rsid w:val="005F0538"/>
    <w:rsid w:val="005F1D5D"/>
    <w:rsid w:val="005F6CDF"/>
    <w:rsid w:val="00600675"/>
    <w:rsid w:val="006045C8"/>
    <w:rsid w:val="0062652B"/>
    <w:rsid w:val="006321AF"/>
    <w:rsid w:val="00632E52"/>
    <w:rsid w:val="00632FC8"/>
    <w:rsid w:val="00643393"/>
    <w:rsid w:val="00655B8B"/>
    <w:rsid w:val="00663D8E"/>
    <w:rsid w:val="00664813"/>
    <w:rsid w:val="006779D6"/>
    <w:rsid w:val="00680F29"/>
    <w:rsid w:val="00681E0E"/>
    <w:rsid w:val="0068744A"/>
    <w:rsid w:val="006937F9"/>
    <w:rsid w:val="00693C14"/>
    <w:rsid w:val="006956DB"/>
    <w:rsid w:val="006A25FC"/>
    <w:rsid w:val="006A3108"/>
    <w:rsid w:val="006A5BC3"/>
    <w:rsid w:val="006C0324"/>
    <w:rsid w:val="006F11EA"/>
    <w:rsid w:val="006F1855"/>
    <w:rsid w:val="006F3E34"/>
    <w:rsid w:val="0070092B"/>
    <w:rsid w:val="00717AFD"/>
    <w:rsid w:val="00720503"/>
    <w:rsid w:val="007251F5"/>
    <w:rsid w:val="0072748D"/>
    <w:rsid w:val="00727CBC"/>
    <w:rsid w:val="007320F9"/>
    <w:rsid w:val="00733DF1"/>
    <w:rsid w:val="00734CD9"/>
    <w:rsid w:val="007444D7"/>
    <w:rsid w:val="00756CB3"/>
    <w:rsid w:val="00771027"/>
    <w:rsid w:val="0077675C"/>
    <w:rsid w:val="00783839"/>
    <w:rsid w:val="00786696"/>
    <w:rsid w:val="00792A4E"/>
    <w:rsid w:val="00796F20"/>
    <w:rsid w:val="007A1318"/>
    <w:rsid w:val="007A192C"/>
    <w:rsid w:val="007A2C86"/>
    <w:rsid w:val="007A2DEA"/>
    <w:rsid w:val="007A5B20"/>
    <w:rsid w:val="007A6627"/>
    <w:rsid w:val="007C3F01"/>
    <w:rsid w:val="007D02F9"/>
    <w:rsid w:val="007D5C4B"/>
    <w:rsid w:val="007E3B50"/>
    <w:rsid w:val="007E741E"/>
    <w:rsid w:val="008128AC"/>
    <w:rsid w:val="00821F08"/>
    <w:rsid w:val="008220F9"/>
    <w:rsid w:val="00822E09"/>
    <w:rsid w:val="00827FEB"/>
    <w:rsid w:val="00835F1D"/>
    <w:rsid w:val="00843DFA"/>
    <w:rsid w:val="00852F3D"/>
    <w:rsid w:val="00864733"/>
    <w:rsid w:val="00874176"/>
    <w:rsid w:val="008769F8"/>
    <w:rsid w:val="008779CD"/>
    <w:rsid w:val="00880A8A"/>
    <w:rsid w:val="00887DBE"/>
    <w:rsid w:val="00895B3D"/>
    <w:rsid w:val="008A41A9"/>
    <w:rsid w:val="008A4F42"/>
    <w:rsid w:val="008A74B2"/>
    <w:rsid w:val="008B4079"/>
    <w:rsid w:val="008B6152"/>
    <w:rsid w:val="008C70A1"/>
    <w:rsid w:val="008C70BF"/>
    <w:rsid w:val="008D2315"/>
    <w:rsid w:val="008D2A07"/>
    <w:rsid w:val="008D4D77"/>
    <w:rsid w:val="008E30B5"/>
    <w:rsid w:val="008E4F86"/>
    <w:rsid w:val="00910168"/>
    <w:rsid w:val="00915FA9"/>
    <w:rsid w:val="00926F32"/>
    <w:rsid w:val="00930BE3"/>
    <w:rsid w:val="00930FDF"/>
    <w:rsid w:val="00952607"/>
    <w:rsid w:val="00956D63"/>
    <w:rsid w:val="00957FA9"/>
    <w:rsid w:val="009676E7"/>
    <w:rsid w:val="00975EFF"/>
    <w:rsid w:val="00980812"/>
    <w:rsid w:val="009936BC"/>
    <w:rsid w:val="009A01DE"/>
    <w:rsid w:val="009A047E"/>
    <w:rsid w:val="009C1833"/>
    <w:rsid w:val="009C4F19"/>
    <w:rsid w:val="009D701D"/>
    <w:rsid w:val="009E0031"/>
    <w:rsid w:val="00A00D97"/>
    <w:rsid w:val="00A03979"/>
    <w:rsid w:val="00A03E6C"/>
    <w:rsid w:val="00A12A2B"/>
    <w:rsid w:val="00A15436"/>
    <w:rsid w:val="00A40B38"/>
    <w:rsid w:val="00A42275"/>
    <w:rsid w:val="00A4559F"/>
    <w:rsid w:val="00A45C91"/>
    <w:rsid w:val="00A45CCE"/>
    <w:rsid w:val="00A46B27"/>
    <w:rsid w:val="00A52771"/>
    <w:rsid w:val="00A6350E"/>
    <w:rsid w:val="00A63853"/>
    <w:rsid w:val="00A72848"/>
    <w:rsid w:val="00A73490"/>
    <w:rsid w:val="00A73B9C"/>
    <w:rsid w:val="00A9003C"/>
    <w:rsid w:val="00AA757D"/>
    <w:rsid w:val="00AB0594"/>
    <w:rsid w:val="00AC615E"/>
    <w:rsid w:val="00AC6D0D"/>
    <w:rsid w:val="00AD0BE1"/>
    <w:rsid w:val="00AD6AFA"/>
    <w:rsid w:val="00AE022B"/>
    <w:rsid w:val="00AE21FA"/>
    <w:rsid w:val="00AF162F"/>
    <w:rsid w:val="00B01079"/>
    <w:rsid w:val="00B05165"/>
    <w:rsid w:val="00B11C95"/>
    <w:rsid w:val="00B12027"/>
    <w:rsid w:val="00B154B1"/>
    <w:rsid w:val="00B346EE"/>
    <w:rsid w:val="00B37D63"/>
    <w:rsid w:val="00B417EE"/>
    <w:rsid w:val="00B41B06"/>
    <w:rsid w:val="00B63188"/>
    <w:rsid w:val="00B63B5C"/>
    <w:rsid w:val="00B818F2"/>
    <w:rsid w:val="00B90841"/>
    <w:rsid w:val="00BA1EBB"/>
    <w:rsid w:val="00BA28C0"/>
    <w:rsid w:val="00BA47BD"/>
    <w:rsid w:val="00BA5EEE"/>
    <w:rsid w:val="00BA69AE"/>
    <w:rsid w:val="00BC0358"/>
    <w:rsid w:val="00BD07BF"/>
    <w:rsid w:val="00BD525F"/>
    <w:rsid w:val="00BE0C39"/>
    <w:rsid w:val="00BE4706"/>
    <w:rsid w:val="00BF4315"/>
    <w:rsid w:val="00C02573"/>
    <w:rsid w:val="00C027C1"/>
    <w:rsid w:val="00C1644A"/>
    <w:rsid w:val="00C31DF7"/>
    <w:rsid w:val="00C44384"/>
    <w:rsid w:val="00C55B85"/>
    <w:rsid w:val="00C705CC"/>
    <w:rsid w:val="00C76923"/>
    <w:rsid w:val="00C82ADC"/>
    <w:rsid w:val="00C90816"/>
    <w:rsid w:val="00C93E75"/>
    <w:rsid w:val="00CB0E86"/>
    <w:rsid w:val="00CB75ED"/>
    <w:rsid w:val="00CC084F"/>
    <w:rsid w:val="00CC4CF3"/>
    <w:rsid w:val="00CC6190"/>
    <w:rsid w:val="00CC6A05"/>
    <w:rsid w:val="00CF5ED4"/>
    <w:rsid w:val="00CF69AC"/>
    <w:rsid w:val="00D104CF"/>
    <w:rsid w:val="00D23B6A"/>
    <w:rsid w:val="00D34D01"/>
    <w:rsid w:val="00D35D59"/>
    <w:rsid w:val="00D36CCC"/>
    <w:rsid w:val="00D51489"/>
    <w:rsid w:val="00D51A75"/>
    <w:rsid w:val="00D60588"/>
    <w:rsid w:val="00D63730"/>
    <w:rsid w:val="00D6536B"/>
    <w:rsid w:val="00D7231C"/>
    <w:rsid w:val="00D73579"/>
    <w:rsid w:val="00D80427"/>
    <w:rsid w:val="00D8429E"/>
    <w:rsid w:val="00D90BEF"/>
    <w:rsid w:val="00D91318"/>
    <w:rsid w:val="00DC5EB3"/>
    <w:rsid w:val="00DC613B"/>
    <w:rsid w:val="00DD713D"/>
    <w:rsid w:val="00DE0EE2"/>
    <w:rsid w:val="00DE1378"/>
    <w:rsid w:val="00DF0E52"/>
    <w:rsid w:val="00E05578"/>
    <w:rsid w:val="00E13BE1"/>
    <w:rsid w:val="00E217B2"/>
    <w:rsid w:val="00E225F6"/>
    <w:rsid w:val="00E239D6"/>
    <w:rsid w:val="00E24C22"/>
    <w:rsid w:val="00E25120"/>
    <w:rsid w:val="00E27A65"/>
    <w:rsid w:val="00E3753E"/>
    <w:rsid w:val="00E5438F"/>
    <w:rsid w:val="00E55DF0"/>
    <w:rsid w:val="00E5688E"/>
    <w:rsid w:val="00E5749D"/>
    <w:rsid w:val="00E76523"/>
    <w:rsid w:val="00E832D4"/>
    <w:rsid w:val="00E83647"/>
    <w:rsid w:val="00E84292"/>
    <w:rsid w:val="00E955C7"/>
    <w:rsid w:val="00EA2A5A"/>
    <w:rsid w:val="00EA37C1"/>
    <w:rsid w:val="00EB4CB5"/>
    <w:rsid w:val="00EB66FA"/>
    <w:rsid w:val="00EC2234"/>
    <w:rsid w:val="00EC31A8"/>
    <w:rsid w:val="00EC3903"/>
    <w:rsid w:val="00EC5891"/>
    <w:rsid w:val="00EC5C70"/>
    <w:rsid w:val="00EF1D6C"/>
    <w:rsid w:val="00F055B5"/>
    <w:rsid w:val="00F06986"/>
    <w:rsid w:val="00F16C65"/>
    <w:rsid w:val="00F17EB5"/>
    <w:rsid w:val="00F236AA"/>
    <w:rsid w:val="00F37B46"/>
    <w:rsid w:val="00F40E14"/>
    <w:rsid w:val="00F43913"/>
    <w:rsid w:val="00F45A69"/>
    <w:rsid w:val="00F535F5"/>
    <w:rsid w:val="00F53A96"/>
    <w:rsid w:val="00F54CB3"/>
    <w:rsid w:val="00F54E2F"/>
    <w:rsid w:val="00F67EA9"/>
    <w:rsid w:val="00F70FBD"/>
    <w:rsid w:val="00F712BB"/>
    <w:rsid w:val="00F71BE1"/>
    <w:rsid w:val="00F74399"/>
    <w:rsid w:val="00F81B5B"/>
    <w:rsid w:val="00F82DA8"/>
    <w:rsid w:val="00F959C5"/>
    <w:rsid w:val="00F967B0"/>
    <w:rsid w:val="00FA4FB5"/>
    <w:rsid w:val="00FA5CD3"/>
    <w:rsid w:val="00FA7FE7"/>
    <w:rsid w:val="00FB194B"/>
    <w:rsid w:val="00FB784C"/>
    <w:rsid w:val="00FC0566"/>
    <w:rsid w:val="00FD0D63"/>
    <w:rsid w:val="00FD0DE4"/>
    <w:rsid w:val="00FD45FA"/>
    <w:rsid w:val="00FD4B40"/>
    <w:rsid w:val="00FD4DAB"/>
    <w:rsid w:val="00FE1004"/>
    <w:rsid w:val="00FE432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F9"/>
  </w:style>
  <w:style w:type="paragraph" w:styleId="Titre1">
    <w:name w:val="heading 1"/>
    <w:basedOn w:val="Normal"/>
    <w:next w:val="Normal"/>
    <w:link w:val="Titre1Car"/>
    <w:uiPriority w:val="9"/>
    <w:qFormat/>
    <w:rsid w:val="00166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6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349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7349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A5B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5B4EEA"/>
    <w:pPr>
      <w:ind w:left="720"/>
      <w:contextualSpacing/>
    </w:pPr>
    <w:rPr>
      <w:lang w:val="en-GB"/>
    </w:rPr>
  </w:style>
  <w:style w:type="paragraph" w:styleId="Notedebasdepage">
    <w:name w:val="footnote text"/>
    <w:basedOn w:val="Normal"/>
    <w:link w:val="NotedebasdepageCar"/>
    <w:uiPriority w:val="99"/>
    <w:unhideWhenUsed/>
    <w:rsid w:val="005B4EEA"/>
    <w:pPr>
      <w:spacing w:after="0" w:line="240" w:lineRule="auto"/>
    </w:pPr>
    <w:rPr>
      <w:sz w:val="20"/>
      <w:szCs w:val="20"/>
      <w:lang w:val="en-GB"/>
    </w:rPr>
  </w:style>
  <w:style w:type="character" w:customStyle="1" w:styleId="NotedebasdepageCar">
    <w:name w:val="Note de bas de page Car"/>
    <w:basedOn w:val="Policepardfaut"/>
    <w:link w:val="Notedebasdepage"/>
    <w:uiPriority w:val="99"/>
    <w:rsid w:val="005B4EEA"/>
    <w:rPr>
      <w:sz w:val="20"/>
      <w:szCs w:val="20"/>
      <w:lang w:val="en-GB"/>
    </w:rPr>
  </w:style>
  <w:style w:type="character" w:styleId="Appelnotedebasdep">
    <w:name w:val="footnote reference"/>
    <w:basedOn w:val="Policepardfaut"/>
    <w:unhideWhenUsed/>
    <w:rsid w:val="005B4EEA"/>
    <w:rPr>
      <w:vertAlign w:val="superscript"/>
    </w:rPr>
  </w:style>
  <w:style w:type="character" w:customStyle="1" w:styleId="Titre1Car">
    <w:name w:val="Titre 1 Car"/>
    <w:basedOn w:val="Policepardfaut"/>
    <w:link w:val="Titre1"/>
    <w:uiPriority w:val="9"/>
    <w:rsid w:val="0016690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6690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7349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734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A5B2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4F2A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A77"/>
    <w:rPr>
      <w:rFonts w:ascii="Tahoma" w:hAnsi="Tahoma" w:cs="Tahoma"/>
      <w:sz w:val="16"/>
      <w:szCs w:val="16"/>
    </w:rPr>
  </w:style>
  <w:style w:type="paragraph" w:styleId="En-ttedetabledesmatires">
    <w:name w:val="TOC Heading"/>
    <w:basedOn w:val="Titre1"/>
    <w:next w:val="Normal"/>
    <w:uiPriority w:val="39"/>
    <w:semiHidden/>
    <w:unhideWhenUsed/>
    <w:qFormat/>
    <w:rsid w:val="00472F17"/>
    <w:pPr>
      <w:outlineLvl w:val="9"/>
    </w:pPr>
    <w:rPr>
      <w:lang w:val="fr-FR"/>
    </w:rPr>
  </w:style>
  <w:style w:type="paragraph" w:styleId="TM1">
    <w:name w:val="toc 1"/>
    <w:basedOn w:val="Normal"/>
    <w:next w:val="Normal"/>
    <w:autoRedefine/>
    <w:uiPriority w:val="39"/>
    <w:unhideWhenUsed/>
    <w:rsid w:val="00472F17"/>
    <w:pPr>
      <w:spacing w:after="100"/>
    </w:pPr>
  </w:style>
  <w:style w:type="paragraph" w:styleId="TM2">
    <w:name w:val="toc 2"/>
    <w:basedOn w:val="Normal"/>
    <w:next w:val="Normal"/>
    <w:autoRedefine/>
    <w:uiPriority w:val="39"/>
    <w:unhideWhenUsed/>
    <w:rsid w:val="00472F17"/>
    <w:pPr>
      <w:spacing w:after="100"/>
      <w:ind w:left="220"/>
    </w:pPr>
  </w:style>
  <w:style w:type="paragraph" w:styleId="TM3">
    <w:name w:val="toc 3"/>
    <w:basedOn w:val="Normal"/>
    <w:next w:val="Normal"/>
    <w:autoRedefine/>
    <w:uiPriority w:val="39"/>
    <w:unhideWhenUsed/>
    <w:rsid w:val="00472F17"/>
    <w:pPr>
      <w:spacing w:after="100"/>
      <w:ind w:left="440"/>
    </w:pPr>
  </w:style>
  <w:style w:type="character" w:styleId="Lienhypertexte">
    <w:name w:val="Hyperlink"/>
    <w:basedOn w:val="Policepardfaut"/>
    <w:uiPriority w:val="99"/>
    <w:unhideWhenUsed/>
    <w:rsid w:val="00472F17"/>
    <w:rPr>
      <w:color w:val="0000FF" w:themeColor="hyperlink"/>
      <w:u w:val="single"/>
    </w:rPr>
  </w:style>
  <w:style w:type="paragraph" w:styleId="En-tte">
    <w:name w:val="header"/>
    <w:basedOn w:val="Normal"/>
    <w:link w:val="En-tteCar"/>
    <w:uiPriority w:val="99"/>
    <w:semiHidden/>
    <w:unhideWhenUsed/>
    <w:rsid w:val="003311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110E"/>
  </w:style>
  <w:style w:type="paragraph" w:styleId="Pieddepage">
    <w:name w:val="footer"/>
    <w:basedOn w:val="Normal"/>
    <w:link w:val="PieddepageCar"/>
    <w:uiPriority w:val="99"/>
    <w:unhideWhenUsed/>
    <w:rsid w:val="00331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10E"/>
  </w:style>
  <w:style w:type="character" w:styleId="Marquedecommentaire">
    <w:name w:val="annotation reference"/>
    <w:basedOn w:val="Policepardfaut"/>
    <w:uiPriority w:val="99"/>
    <w:semiHidden/>
    <w:unhideWhenUsed/>
    <w:rsid w:val="005F0538"/>
    <w:rPr>
      <w:sz w:val="16"/>
      <w:szCs w:val="16"/>
    </w:rPr>
  </w:style>
  <w:style w:type="paragraph" w:styleId="Commentaire">
    <w:name w:val="annotation text"/>
    <w:basedOn w:val="Normal"/>
    <w:link w:val="CommentaireCar"/>
    <w:uiPriority w:val="99"/>
    <w:unhideWhenUsed/>
    <w:rsid w:val="005F0538"/>
    <w:pPr>
      <w:spacing w:line="240" w:lineRule="auto"/>
    </w:pPr>
    <w:rPr>
      <w:sz w:val="20"/>
      <w:szCs w:val="20"/>
    </w:rPr>
  </w:style>
  <w:style w:type="character" w:customStyle="1" w:styleId="CommentaireCar">
    <w:name w:val="Commentaire Car"/>
    <w:basedOn w:val="Policepardfaut"/>
    <w:link w:val="Commentaire"/>
    <w:uiPriority w:val="99"/>
    <w:rsid w:val="005F0538"/>
    <w:rPr>
      <w:sz w:val="20"/>
      <w:szCs w:val="20"/>
    </w:rPr>
  </w:style>
  <w:style w:type="paragraph" w:styleId="Objetducommentaire">
    <w:name w:val="annotation subject"/>
    <w:basedOn w:val="Commentaire"/>
    <w:next w:val="Commentaire"/>
    <w:link w:val="ObjetducommentaireCar"/>
    <w:uiPriority w:val="99"/>
    <w:semiHidden/>
    <w:unhideWhenUsed/>
    <w:rsid w:val="005F0538"/>
    <w:rPr>
      <w:b/>
      <w:bCs/>
    </w:rPr>
  </w:style>
  <w:style w:type="character" w:customStyle="1" w:styleId="ObjetducommentaireCar">
    <w:name w:val="Objet du commentaire Car"/>
    <w:basedOn w:val="CommentaireCar"/>
    <w:link w:val="Objetducommentaire"/>
    <w:uiPriority w:val="99"/>
    <w:semiHidden/>
    <w:rsid w:val="005F0538"/>
    <w:rPr>
      <w:b/>
      <w:bCs/>
      <w:sz w:val="20"/>
      <w:szCs w:val="20"/>
    </w:rPr>
  </w:style>
  <w:style w:type="table" w:styleId="Listeclaire-Accent5">
    <w:name w:val="Light List Accent 5"/>
    <w:basedOn w:val="TableauNormal"/>
    <w:uiPriority w:val="61"/>
    <w:rsid w:val="00F535F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rameclaire-Accent11">
    <w:name w:val="Trame claire - Accent 11"/>
    <w:basedOn w:val="TableauNormal"/>
    <w:uiPriority w:val="60"/>
    <w:rsid w:val="00F535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Policepardfaut"/>
    <w:rsid w:val="00CC084F"/>
  </w:style>
  <w:style w:type="character" w:customStyle="1" w:styleId="ParagraphedelisteCar">
    <w:name w:val="Paragraphe de liste Car"/>
    <w:basedOn w:val="Policepardfaut"/>
    <w:link w:val="Paragraphedeliste"/>
    <w:uiPriority w:val="34"/>
    <w:rsid w:val="00CC084F"/>
    <w:rPr>
      <w:lang w:val="en-GB"/>
    </w:rPr>
  </w:style>
  <w:style w:type="character" w:customStyle="1" w:styleId="A2">
    <w:name w:val="A2"/>
    <w:uiPriority w:val="99"/>
    <w:rsid w:val="00CC084F"/>
    <w:rPr>
      <w:rFonts w:cs="Roboto"/>
      <w:color w:val="000000"/>
      <w:sz w:val="18"/>
      <w:szCs w:val="18"/>
    </w:rPr>
  </w:style>
  <w:style w:type="paragraph" w:styleId="Corpsdetexte">
    <w:name w:val="Body Text"/>
    <w:basedOn w:val="Normal"/>
    <w:link w:val="CorpsdetexteCar"/>
    <w:uiPriority w:val="99"/>
    <w:unhideWhenUsed/>
    <w:rsid w:val="0054237E"/>
    <w:pPr>
      <w:spacing w:after="120" w:line="240" w:lineRule="auto"/>
      <w:jc w:val="both"/>
    </w:pPr>
    <w:rPr>
      <w:rFonts w:ascii="Verdana" w:eastAsia="Times New Roman" w:hAnsi="Verdana" w:cs="Times New Roman"/>
      <w:sz w:val="20"/>
      <w:szCs w:val="24"/>
      <w:lang w:val="fr-FR" w:eastAsia="fr-FR"/>
    </w:rPr>
  </w:style>
  <w:style w:type="character" w:customStyle="1" w:styleId="CorpsdetexteCar">
    <w:name w:val="Corps de texte Car"/>
    <w:basedOn w:val="Policepardfaut"/>
    <w:link w:val="Corpsdetexte"/>
    <w:uiPriority w:val="99"/>
    <w:rsid w:val="0054237E"/>
    <w:rPr>
      <w:rFonts w:ascii="Verdana" w:eastAsia="Times New Roman" w:hAnsi="Verdana" w:cs="Times New Roman"/>
      <w:sz w:val="20"/>
      <w:szCs w:val="24"/>
      <w:lang w:val="fr-FR" w:eastAsia="fr-FR"/>
    </w:rPr>
  </w:style>
  <w:style w:type="table" w:styleId="Grillemoyenne3-Accent1">
    <w:name w:val="Medium Grid 3 Accent 1"/>
    <w:basedOn w:val="TableauNormal"/>
    <w:uiPriority w:val="69"/>
    <w:rsid w:val="002A60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couleur-Accent1">
    <w:name w:val="Colorful List Accent 1"/>
    <w:basedOn w:val="TableauNormal"/>
    <w:uiPriority w:val="72"/>
    <w:rsid w:val="002A60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ramecouleur-Accent1">
    <w:name w:val="Colorful Shading Accent 1"/>
    <w:basedOn w:val="TableauNormal"/>
    <w:uiPriority w:val="71"/>
    <w:rsid w:val="002A602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llemoyenne2-Accent1">
    <w:name w:val="Medium Grid 2 Accent 1"/>
    <w:basedOn w:val="TableauNormal"/>
    <w:uiPriority w:val="68"/>
    <w:rsid w:val="002A6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ramemoyenne1-Accent1">
    <w:name w:val="Medium Shading 1 Accent 1"/>
    <w:basedOn w:val="TableauNormal"/>
    <w:uiPriority w:val="63"/>
    <w:rsid w:val="002A602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claire-Accent1">
    <w:name w:val="Light Shading Accent 1"/>
    <w:basedOn w:val="TableauNormal"/>
    <w:uiPriority w:val="60"/>
    <w:rsid w:val="002A60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2A602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ouleur-Accent1">
    <w:name w:val="Colorful Grid Accent 1"/>
    <w:basedOn w:val="TableauNormal"/>
    <w:uiPriority w:val="73"/>
    <w:rsid w:val="005654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emoyenne1-Accent1">
    <w:name w:val="Medium List 1 Accent 1"/>
    <w:basedOn w:val="TableauNormal"/>
    <w:uiPriority w:val="65"/>
    <w:rsid w:val="0056547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56547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1">
    <w:name w:val="Light Grid Accent 1"/>
    <w:basedOn w:val="TableauNormal"/>
    <w:uiPriority w:val="62"/>
    <w:rsid w:val="0056547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557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Policepardfaut"/>
    <w:rsid w:val="00557611"/>
  </w:style>
  <w:style w:type="character" w:styleId="lev">
    <w:name w:val="Strong"/>
    <w:basedOn w:val="Policepardfaut"/>
    <w:uiPriority w:val="22"/>
    <w:qFormat/>
    <w:rsid w:val="000D5D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66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669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349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7349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A5B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4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B4EEA"/>
    <w:pPr>
      <w:ind w:left="720"/>
      <w:contextualSpacing/>
    </w:pPr>
    <w:rPr>
      <w:lang w:val="en-GB"/>
    </w:rPr>
  </w:style>
  <w:style w:type="paragraph" w:styleId="Notedebasdepage">
    <w:name w:val="footnote text"/>
    <w:basedOn w:val="Normal"/>
    <w:link w:val="NotedebasdepageCar"/>
    <w:uiPriority w:val="99"/>
    <w:unhideWhenUsed/>
    <w:rsid w:val="005B4EEA"/>
    <w:pPr>
      <w:spacing w:after="0" w:line="240" w:lineRule="auto"/>
    </w:pPr>
    <w:rPr>
      <w:sz w:val="20"/>
      <w:szCs w:val="20"/>
      <w:lang w:val="en-GB"/>
    </w:rPr>
  </w:style>
  <w:style w:type="character" w:customStyle="1" w:styleId="NotedebasdepageCar">
    <w:name w:val="Note de bas de page Car"/>
    <w:basedOn w:val="Policepardfaut"/>
    <w:link w:val="Notedebasdepage"/>
    <w:uiPriority w:val="99"/>
    <w:rsid w:val="005B4EEA"/>
    <w:rPr>
      <w:sz w:val="20"/>
      <w:szCs w:val="20"/>
      <w:lang w:val="en-GB"/>
    </w:rPr>
  </w:style>
  <w:style w:type="character" w:styleId="Appelnotedebasdep">
    <w:name w:val="footnote reference"/>
    <w:basedOn w:val="Policepardfaut"/>
    <w:unhideWhenUsed/>
    <w:rsid w:val="005B4EEA"/>
    <w:rPr>
      <w:vertAlign w:val="superscript"/>
    </w:rPr>
  </w:style>
  <w:style w:type="character" w:customStyle="1" w:styleId="Titre1Car">
    <w:name w:val="Titre 1 Car"/>
    <w:basedOn w:val="Policepardfaut"/>
    <w:link w:val="Titre1"/>
    <w:uiPriority w:val="9"/>
    <w:rsid w:val="0016690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6690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7349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734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7A5B2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4F2A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A77"/>
    <w:rPr>
      <w:rFonts w:ascii="Tahoma" w:hAnsi="Tahoma" w:cs="Tahoma"/>
      <w:sz w:val="16"/>
      <w:szCs w:val="16"/>
    </w:rPr>
  </w:style>
  <w:style w:type="paragraph" w:styleId="En-ttedetabledesmatires">
    <w:name w:val="TOC Heading"/>
    <w:basedOn w:val="Titre1"/>
    <w:next w:val="Normal"/>
    <w:uiPriority w:val="39"/>
    <w:semiHidden/>
    <w:unhideWhenUsed/>
    <w:qFormat/>
    <w:rsid w:val="00472F17"/>
    <w:pPr>
      <w:outlineLvl w:val="9"/>
    </w:pPr>
    <w:rPr>
      <w:lang w:val="fr-FR"/>
    </w:rPr>
  </w:style>
  <w:style w:type="paragraph" w:styleId="TM1">
    <w:name w:val="toc 1"/>
    <w:basedOn w:val="Normal"/>
    <w:next w:val="Normal"/>
    <w:autoRedefine/>
    <w:uiPriority w:val="39"/>
    <w:unhideWhenUsed/>
    <w:rsid w:val="00472F17"/>
    <w:pPr>
      <w:spacing w:after="100"/>
    </w:pPr>
  </w:style>
  <w:style w:type="paragraph" w:styleId="TM2">
    <w:name w:val="toc 2"/>
    <w:basedOn w:val="Normal"/>
    <w:next w:val="Normal"/>
    <w:autoRedefine/>
    <w:uiPriority w:val="39"/>
    <w:unhideWhenUsed/>
    <w:rsid w:val="00472F17"/>
    <w:pPr>
      <w:spacing w:after="100"/>
      <w:ind w:left="220"/>
    </w:pPr>
  </w:style>
  <w:style w:type="paragraph" w:styleId="TM3">
    <w:name w:val="toc 3"/>
    <w:basedOn w:val="Normal"/>
    <w:next w:val="Normal"/>
    <w:autoRedefine/>
    <w:uiPriority w:val="39"/>
    <w:unhideWhenUsed/>
    <w:rsid w:val="00472F17"/>
    <w:pPr>
      <w:spacing w:after="100"/>
      <w:ind w:left="440"/>
    </w:pPr>
  </w:style>
  <w:style w:type="character" w:styleId="Lienhypertexte">
    <w:name w:val="Hyperlink"/>
    <w:basedOn w:val="Policepardfaut"/>
    <w:uiPriority w:val="99"/>
    <w:unhideWhenUsed/>
    <w:rsid w:val="00472F17"/>
    <w:rPr>
      <w:color w:val="0000FF" w:themeColor="hyperlink"/>
      <w:u w:val="single"/>
    </w:rPr>
  </w:style>
  <w:style w:type="paragraph" w:styleId="En-tte">
    <w:name w:val="header"/>
    <w:basedOn w:val="Normal"/>
    <w:link w:val="En-tteCar"/>
    <w:uiPriority w:val="99"/>
    <w:semiHidden/>
    <w:unhideWhenUsed/>
    <w:rsid w:val="003311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3110E"/>
  </w:style>
  <w:style w:type="paragraph" w:styleId="Pieddepage">
    <w:name w:val="footer"/>
    <w:basedOn w:val="Normal"/>
    <w:link w:val="PieddepageCar"/>
    <w:uiPriority w:val="99"/>
    <w:unhideWhenUsed/>
    <w:rsid w:val="003311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10E"/>
  </w:style>
  <w:style w:type="character" w:styleId="Marquedecommentaire">
    <w:name w:val="annotation reference"/>
    <w:basedOn w:val="Policepardfaut"/>
    <w:uiPriority w:val="99"/>
    <w:semiHidden/>
    <w:unhideWhenUsed/>
    <w:rsid w:val="005F0538"/>
    <w:rPr>
      <w:sz w:val="16"/>
      <w:szCs w:val="16"/>
    </w:rPr>
  </w:style>
  <w:style w:type="paragraph" w:styleId="Commentaire">
    <w:name w:val="annotation text"/>
    <w:basedOn w:val="Normal"/>
    <w:link w:val="CommentaireCar"/>
    <w:uiPriority w:val="99"/>
    <w:unhideWhenUsed/>
    <w:rsid w:val="005F0538"/>
    <w:pPr>
      <w:spacing w:line="240" w:lineRule="auto"/>
    </w:pPr>
    <w:rPr>
      <w:sz w:val="20"/>
      <w:szCs w:val="20"/>
    </w:rPr>
  </w:style>
  <w:style w:type="character" w:customStyle="1" w:styleId="CommentaireCar">
    <w:name w:val="Commentaire Car"/>
    <w:basedOn w:val="Policepardfaut"/>
    <w:link w:val="Commentaire"/>
    <w:uiPriority w:val="99"/>
    <w:rsid w:val="005F0538"/>
    <w:rPr>
      <w:sz w:val="20"/>
      <w:szCs w:val="20"/>
    </w:rPr>
  </w:style>
  <w:style w:type="paragraph" w:styleId="Objetducommentaire">
    <w:name w:val="annotation subject"/>
    <w:basedOn w:val="Commentaire"/>
    <w:next w:val="Commentaire"/>
    <w:link w:val="ObjetducommentaireCar"/>
    <w:uiPriority w:val="99"/>
    <w:semiHidden/>
    <w:unhideWhenUsed/>
    <w:rsid w:val="005F0538"/>
    <w:rPr>
      <w:b/>
      <w:bCs/>
    </w:rPr>
  </w:style>
  <w:style w:type="character" w:customStyle="1" w:styleId="ObjetducommentaireCar">
    <w:name w:val="Objet du commentaire Car"/>
    <w:basedOn w:val="CommentaireCar"/>
    <w:link w:val="Objetducommentaire"/>
    <w:uiPriority w:val="99"/>
    <w:semiHidden/>
    <w:rsid w:val="005F0538"/>
    <w:rPr>
      <w:b/>
      <w:bCs/>
      <w:sz w:val="20"/>
      <w:szCs w:val="20"/>
    </w:rPr>
  </w:style>
  <w:style w:type="table" w:styleId="Listeclaire-Accent5">
    <w:name w:val="Light List Accent 5"/>
    <w:basedOn w:val="TableauNormal"/>
    <w:uiPriority w:val="61"/>
    <w:rsid w:val="00F535F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rameclaire-Accent11">
    <w:name w:val="Trame claire - Accent 11"/>
    <w:basedOn w:val="TableauNormal"/>
    <w:uiPriority w:val="60"/>
    <w:rsid w:val="00F535F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Policepardfaut"/>
    <w:rsid w:val="00CC084F"/>
  </w:style>
  <w:style w:type="character" w:customStyle="1" w:styleId="ParagraphedelisteCar">
    <w:name w:val="Paragraphe de liste Car"/>
    <w:basedOn w:val="Policepardfaut"/>
    <w:link w:val="Paragraphedeliste"/>
    <w:uiPriority w:val="34"/>
    <w:rsid w:val="00CC084F"/>
    <w:rPr>
      <w:lang w:val="en-GB"/>
    </w:rPr>
  </w:style>
  <w:style w:type="character" w:customStyle="1" w:styleId="A2">
    <w:name w:val="A2"/>
    <w:uiPriority w:val="99"/>
    <w:rsid w:val="00CC084F"/>
    <w:rPr>
      <w:rFonts w:cs="Roboto"/>
      <w:color w:val="000000"/>
      <w:sz w:val="18"/>
      <w:szCs w:val="18"/>
    </w:rPr>
  </w:style>
  <w:style w:type="paragraph" w:styleId="Corpsdetexte">
    <w:name w:val="Body Text"/>
    <w:basedOn w:val="Normal"/>
    <w:link w:val="CorpsdetexteCar"/>
    <w:uiPriority w:val="99"/>
    <w:unhideWhenUsed/>
    <w:rsid w:val="0054237E"/>
    <w:pPr>
      <w:spacing w:after="120" w:line="240" w:lineRule="auto"/>
      <w:jc w:val="both"/>
    </w:pPr>
    <w:rPr>
      <w:rFonts w:ascii="Verdana" w:eastAsia="Times New Roman" w:hAnsi="Verdana" w:cs="Times New Roman"/>
      <w:sz w:val="20"/>
      <w:szCs w:val="24"/>
      <w:lang w:val="fr-FR" w:eastAsia="fr-FR"/>
    </w:rPr>
  </w:style>
  <w:style w:type="character" w:customStyle="1" w:styleId="CorpsdetexteCar">
    <w:name w:val="Corps de texte Car"/>
    <w:basedOn w:val="Policepardfaut"/>
    <w:link w:val="Corpsdetexte"/>
    <w:uiPriority w:val="99"/>
    <w:rsid w:val="0054237E"/>
    <w:rPr>
      <w:rFonts w:ascii="Verdana" w:eastAsia="Times New Roman" w:hAnsi="Verdana" w:cs="Times New Roman"/>
      <w:sz w:val="20"/>
      <w:szCs w:val="24"/>
      <w:lang w:val="fr-FR" w:eastAsia="fr-FR"/>
    </w:rPr>
  </w:style>
  <w:style w:type="table" w:styleId="Grillemoyenne3-Accent1">
    <w:name w:val="Medium Grid 3 Accent 1"/>
    <w:basedOn w:val="TableauNormal"/>
    <w:uiPriority w:val="69"/>
    <w:rsid w:val="002A60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couleur-Accent1">
    <w:name w:val="Colorful List Accent 1"/>
    <w:basedOn w:val="TableauNormal"/>
    <w:uiPriority w:val="72"/>
    <w:rsid w:val="002A602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ramecouleur-Accent1">
    <w:name w:val="Colorful Shading Accent 1"/>
    <w:basedOn w:val="TableauNormal"/>
    <w:uiPriority w:val="71"/>
    <w:rsid w:val="002A602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llemoyenne2-Accent1">
    <w:name w:val="Medium Grid 2 Accent 1"/>
    <w:basedOn w:val="TableauNormal"/>
    <w:uiPriority w:val="68"/>
    <w:rsid w:val="002A60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ramemoyenne1-Accent1">
    <w:name w:val="Medium Shading 1 Accent 1"/>
    <w:basedOn w:val="TableauNormal"/>
    <w:uiPriority w:val="63"/>
    <w:rsid w:val="002A602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claire-Accent1">
    <w:name w:val="Light Shading Accent 1"/>
    <w:basedOn w:val="TableauNormal"/>
    <w:uiPriority w:val="60"/>
    <w:rsid w:val="002A60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claire-Accent1">
    <w:name w:val="Light List Accent 1"/>
    <w:basedOn w:val="TableauNormal"/>
    <w:uiPriority w:val="61"/>
    <w:rsid w:val="002A60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ouleur-Accent1">
    <w:name w:val="Colorful Grid Accent 1"/>
    <w:basedOn w:val="TableauNormal"/>
    <w:uiPriority w:val="73"/>
    <w:rsid w:val="005654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emoyenne1-Accent1">
    <w:name w:val="Medium List 1 Accent 1"/>
    <w:basedOn w:val="TableauNormal"/>
    <w:uiPriority w:val="65"/>
    <w:rsid w:val="0056547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5654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1">
    <w:name w:val="Light Grid Accent 1"/>
    <w:basedOn w:val="TableauNormal"/>
    <w:uiPriority w:val="62"/>
    <w:rsid w:val="005654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557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Policepardfaut"/>
    <w:rsid w:val="00557611"/>
  </w:style>
  <w:style w:type="character" w:styleId="lev">
    <w:name w:val="Strong"/>
    <w:basedOn w:val="Policepardfaut"/>
    <w:uiPriority w:val="22"/>
    <w:qFormat/>
    <w:rsid w:val="000D5D97"/>
    <w:rPr>
      <w:b/>
      <w:bCs/>
    </w:rPr>
  </w:style>
</w:styles>
</file>

<file path=word/webSettings.xml><?xml version="1.0" encoding="utf-8"?>
<w:webSettings xmlns:r="http://schemas.openxmlformats.org/officeDocument/2006/relationships" xmlns:w="http://schemas.openxmlformats.org/wordprocessingml/2006/main">
  <w:divs>
    <w:div w:id="180364474">
      <w:bodyDiv w:val="1"/>
      <w:marLeft w:val="0"/>
      <w:marRight w:val="0"/>
      <w:marTop w:val="0"/>
      <w:marBottom w:val="0"/>
      <w:divBdr>
        <w:top w:val="none" w:sz="0" w:space="0" w:color="auto"/>
        <w:left w:val="none" w:sz="0" w:space="0" w:color="auto"/>
        <w:bottom w:val="none" w:sz="0" w:space="0" w:color="auto"/>
        <w:right w:val="none" w:sz="0" w:space="0" w:color="auto"/>
      </w:divBdr>
    </w:div>
    <w:div w:id="538006719">
      <w:bodyDiv w:val="1"/>
      <w:marLeft w:val="0"/>
      <w:marRight w:val="0"/>
      <w:marTop w:val="0"/>
      <w:marBottom w:val="0"/>
      <w:divBdr>
        <w:top w:val="none" w:sz="0" w:space="0" w:color="auto"/>
        <w:left w:val="none" w:sz="0" w:space="0" w:color="auto"/>
        <w:bottom w:val="none" w:sz="0" w:space="0" w:color="auto"/>
        <w:right w:val="none" w:sz="0" w:space="0" w:color="auto"/>
      </w:divBdr>
    </w:div>
    <w:div w:id="17305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C9C7F-2026-4D8C-AB83-8BB22FA3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4694</Words>
  <Characters>25817</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gg</cp:lastModifiedBy>
  <cp:revision>3</cp:revision>
  <cp:lastPrinted>2017-03-09T13:19:00Z</cp:lastPrinted>
  <dcterms:created xsi:type="dcterms:W3CDTF">2017-03-09T13:19:00Z</dcterms:created>
  <dcterms:modified xsi:type="dcterms:W3CDTF">2017-03-09T13:21:00Z</dcterms:modified>
</cp:coreProperties>
</file>