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47" w:rsidRPr="008C6779" w:rsidRDefault="004A5847" w:rsidP="004A5847">
      <w:pPr>
        <w:jc w:val="center"/>
        <w:rPr>
          <w:rFonts w:ascii="Verdana" w:hAnsi="Verdana"/>
          <w:b/>
          <w:caps/>
          <w:kern w:val="20"/>
          <w:sz w:val="20"/>
          <w:szCs w:val="22"/>
        </w:rPr>
      </w:pPr>
      <w:r w:rsidRPr="008C6779">
        <w:rPr>
          <w:rFonts w:ascii="Verdana" w:hAnsi="Verdana"/>
          <w:b/>
          <w:caps/>
          <w:kern w:val="20"/>
          <w:sz w:val="20"/>
          <w:szCs w:val="22"/>
        </w:rPr>
        <w:t xml:space="preserve">Appel à </w:t>
      </w:r>
      <w:r w:rsidR="00DC05A8">
        <w:rPr>
          <w:rFonts w:ascii="Verdana" w:hAnsi="Verdana"/>
          <w:b/>
          <w:caps/>
          <w:kern w:val="20"/>
          <w:sz w:val="20"/>
          <w:szCs w:val="22"/>
        </w:rPr>
        <w:t>CANDIDAT</w:t>
      </w:r>
      <w:r w:rsidR="00DC05A8" w:rsidRPr="008C6779">
        <w:rPr>
          <w:rFonts w:ascii="Verdana" w:hAnsi="Verdana"/>
          <w:b/>
          <w:caps/>
          <w:kern w:val="20"/>
          <w:sz w:val="20"/>
          <w:szCs w:val="22"/>
        </w:rPr>
        <w:t xml:space="preserve"> </w:t>
      </w:r>
      <w:r w:rsidRPr="008C6779">
        <w:rPr>
          <w:rFonts w:ascii="Verdana" w:hAnsi="Verdana"/>
          <w:b/>
          <w:caps/>
          <w:kern w:val="20"/>
          <w:sz w:val="20"/>
          <w:szCs w:val="22"/>
        </w:rPr>
        <w:t xml:space="preserve">pour le déploiement </w:t>
      </w:r>
      <w:r w:rsidR="00DE3795">
        <w:rPr>
          <w:rFonts w:ascii="Verdana" w:hAnsi="Verdana"/>
          <w:b/>
          <w:caps/>
          <w:kern w:val="20"/>
          <w:sz w:val="20"/>
          <w:szCs w:val="22"/>
        </w:rPr>
        <w:t xml:space="preserve">de </w:t>
      </w:r>
      <w:r w:rsidR="00CF33CA">
        <w:rPr>
          <w:rFonts w:ascii="Verdana" w:hAnsi="Verdana"/>
          <w:b/>
          <w:caps/>
          <w:kern w:val="20"/>
          <w:sz w:val="20"/>
          <w:szCs w:val="22"/>
        </w:rPr>
        <w:t>SITES</w:t>
      </w:r>
      <w:r w:rsidR="00DE3795">
        <w:rPr>
          <w:rFonts w:ascii="Verdana" w:hAnsi="Verdana"/>
          <w:b/>
          <w:caps/>
          <w:kern w:val="20"/>
          <w:sz w:val="20"/>
          <w:szCs w:val="22"/>
        </w:rPr>
        <w:t xml:space="preserve"> de démonstration de type « Power-to-mobility » (P2M)</w:t>
      </w:r>
    </w:p>
    <w:p w:rsidR="004A5847" w:rsidRDefault="004A5847" w:rsidP="004A5847">
      <w:pPr>
        <w:jc w:val="both"/>
        <w:rPr>
          <w:rFonts w:ascii="Verdana" w:hAnsi="Verdana"/>
          <w:sz w:val="20"/>
          <w:szCs w:val="22"/>
        </w:rPr>
      </w:pPr>
    </w:p>
    <w:p w:rsidR="004A5847" w:rsidRDefault="004A5847" w:rsidP="004A5847">
      <w:pPr>
        <w:jc w:val="both"/>
        <w:rPr>
          <w:rFonts w:ascii="Verdana" w:hAnsi="Verdana"/>
          <w:sz w:val="20"/>
          <w:szCs w:val="22"/>
        </w:rPr>
      </w:pPr>
    </w:p>
    <w:p w:rsidR="00DE3795" w:rsidRPr="00DE3795" w:rsidRDefault="00DE3795" w:rsidP="00DE3795">
      <w:pPr>
        <w:spacing w:after="240"/>
        <w:jc w:val="both"/>
        <w:rPr>
          <w:rFonts w:ascii="Verdana" w:hAnsi="Verdana"/>
          <w:sz w:val="20"/>
          <w:szCs w:val="20"/>
        </w:rPr>
      </w:pPr>
    </w:p>
    <w:p w:rsidR="00DE3795" w:rsidRDefault="00DE3795" w:rsidP="00DE3795">
      <w:pPr>
        <w:spacing w:after="240"/>
        <w:jc w:val="both"/>
        <w:rPr>
          <w:rFonts w:ascii="Verdana" w:hAnsi="Verdana"/>
          <w:sz w:val="20"/>
          <w:szCs w:val="20"/>
        </w:rPr>
      </w:pPr>
      <w:r w:rsidRPr="00DE3795">
        <w:rPr>
          <w:rFonts w:ascii="Verdana" w:hAnsi="Verdana"/>
          <w:sz w:val="20"/>
          <w:szCs w:val="20"/>
        </w:rPr>
        <w:t>Lors de sa séance du 18 janvier 2018, le Gouvernement wallon a adopté le Plan wallon d’investissements</w:t>
      </w:r>
      <w:r>
        <w:rPr>
          <w:rFonts w:ascii="Verdana" w:hAnsi="Verdana"/>
          <w:sz w:val="20"/>
          <w:szCs w:val="20"/>
        </w:rPr>
        <w:t xml:space="preserve"> (PWI)</w:t>
      </w:r>
      <w:r w:rsidRPr="00DE3795">
        <w:rPr>
          <w:rFonts w:ascii="Verdana" w:hAnsi="Verdana"/>
          <w:sz w:val="20"/>
          <w:szCs w:val="20"/>
        </w:rPr>
        <w:t xml:space="preserve">. </w:t>
      </w:r>
      <w:r>
        <w:rPr>
          <w:rFonts w:ascii="Verdana" w:hAnsi="Verdana"/>
          <w:sz w:val="20"/>
          <w:szCs w:val="20"/>
        </w:rPr>
        <w:t>Parmi ses différentes actions, c</w:t>
      </w:r>
      <w:r w:rsidRPr="00DE3795">
        <w:rPr>
          <w:rFonts w:ascii="Verdana" w:hAnsi="Verdana"/>
          <w:sz w:val="20"/>
          <w:szCs w:val="20"/>
        </w:rPr>
        <w:t>elui-ci comporte la fiche 23 relative au « power-to-</w:t>
      </w:r>
      <w:proofErr w:type="spellStart"/>
      <w:r w:rsidRPr="00DE3795">
        <w:rPr>
          <w:rFonts w:ascii="Verdana" w:hAnsi="Verdana"/>
          <w:sz w:val="20"/>
          <w:szCs w:val="20"/>
        </w:rPr>
        <w:t>gas</w:t>
      </w:r>
      <w:proofErr w:type="spellEnd"/>
      <w:r w:rsidRPr="00DE3795">
        <w:rPr>
          <w:rFonts w:ascii="Verdana" w:hAnsi="Verdana"/>
          <w:sz w:val="20"/>
          <w:szCs w:val="20"/>
        </w:rPr>
        <w:t xml:space="preserve"> &amp; Power-to-</w:t>
      </w:r>
      <w:proofErr w:type="spellStart"/>
      <w:r w:rsidRPr="00DE3795">
        <w:rPr>
          <w:rFonts w:ascii="Verdana" w:hAnsi="Verdana"/>
          <w:sz w:val="20"/>
          <w:szCs w:val="20"/>
        </w:rPr>
        <w:t>Mobility</w:t>
      </w:r>
      <w:proofErr w:type="spellEnd"/>
      <w:r w:rsidRPr="00DE3795">
        <w:rPr>
          <w:rFonts w:ascii="Verdana" w:hAnsi="Verdana"/>
          <w:sz w:val="20"/>
          <w:szCs w:val="20"/>
        </w:rPr>
        <w:t xml:space="preserve"> » visant la production </w:t>
      </w:r>
      <w:r>
        <w:rPr>
          <w:rFonts w:ascii="Verdana" w:hAnsi="Verdana"/>
          <w:sz w:val="20"/>
          <w:szCs w:val="20"/>
        </w:rPr>
        <w:t xml:space="preserve">d’hydrogène </w:t>
      </w:r>
      <w:r w:rsidRPr="00DE3795">
        <w:rPr>
          <w:rFonts w:ascii="Verdana" w:hAnsi="Verdana"/>
          <w:sz w:val="20"/>
          <w:szCs w:val="20"/>
        </w:rPr>
        <w:t xml:space="preserve">à partir d’électrolyse de l’eau </w:t>
      </w:r>
      <w:r>
        <w:rPr>
          <w:rFonts w:ascii="Verdana" w:hAnsi="Verdana"/>
          <w:sz w:val="20"/>
          <w:szCs w:val="20"/>
        </w:rPr>
        <w:t xml:space="preserve">et son </w:t>
      </w:r>
      <w:r w:rsidRPr="00DE3795">
        <w:rPr>
          <w:rFonts w:ascii="Verdana" w:hAnsi="Verdana"/>
          <w:sz w:val="20"/>
          <w:szCs w:val="20"/>
        </w:rPr>
        <w:t>utilisation dans différentes applications (Power-to-X)</w:t>
      </w:r>
      <w:r>
        <w:rPr>
          <w:rFonts w:ascii="Verdana" w:hAnsi="Verdana"/>
          <w:sz w:val="20"/>
          <w:szCs w:val="20"/>
        </w:rPr>
        <w:t xml:space="preserve">. Le Plan </w:t>
      </w:r>
      <w:r w:rsidRPr="00DE3795">
        <w:rPr>
          <w:rFonts w:ascii="Verdana" w:hAnsi="Verdana"/>
          <w:sz w:val="20"/>
          <w:szCs w:val="20"/>
        </w:rPr>
        <w:t>prévoit une enveloppe de 50 millions d’euros pour la période 2019-2024.</w:t>
      </w:r>
    </w:p>
    <w:p w:rsidR="00DE3795" w:rsidRDefault="00DE3795" w:rsidP="00DE3795">
      <w:pPr>
        <w:spacing w:after="240"/>
        <w:jc w:val="both"/>
        <w:rPr>
          <w:rFonts w:ascii="Verdana" w:hAnsi="Verdana"/>
          <w:sz w:val="20"/>
          <w:szCs w:val="20"/>
        </w:rPr>
      </w:pPr>
      <w:r>
        <w:rPr>
          <w:rFonts w:ascii="Verdana" w:hAnsi="Verdana"/>
          <w:sz w:val="20"/>
          <w:szCs w:val="20"/>
        </w:rPr>
        <w:t>Pour rappel, la Fiche 23 du PWI se décline comme suit :</w:t>
      </w:r>
    </w:p>
    <w:p w:rsidR="00DE3795" w:rsidRPr="009F6BD9" w:rsidRDefault="00DE3795" w:rsidP="00DE3795">
      <w:pPr>
        <w:pStyle w:val="Default"/>
        <w:ind w:left="708"/>
        <w:rPr>
          <w:b/>
          <w:bCs/>
          <w:sz w:val="18"/>
          <w:szCs w:val="18"/>
          <w:lang w:val="en-GB"/>
        </w:rPr>
      </w:pPr>
      <w:proofErr w:type="spellStart"/>
      <w:r w:rsidRPr="00351951">
        <w:rPr>
          <w:b/>
          <w:bCs/>
          <w:sz w:val="18"/>
          <w:szCs w:val="18"/>
          <w:lang w:val="en-GB"/>
        </w:rPr>
        <w:t>Projet</w:t>
      </w:r>
      <w:proofErr w:type="spellEnd"/>
      <w:r w:rsidRPr="009F6BD9">
        <w:rPr>
          <w:b/>
          <w:bCs/>
          <w:sz w:val="18"/>
          <w:szCs w:val="18"/>
          <w:lang w:val="en-GB"/>
        </w:rPr>
        <w:t xml:space="preserve"> 23 / Power-to-Gas &amp; Power-to-Mobility </w:t>
      </w:r>
    </w:p>
    <w:p w:rsidR="00DE3795" w:rsidRPr="009F6BD9" w:rsidRDefault="00DE3795" w:rsidP="00DE3795">
      <w:pPr>
        <w:pStyle w:val="Default"/>
        <w:ind w:left="708"/>
        <w:rPr>
          <w:sz w:val="18"/>
          <w:szCs w:val="18"/>
          <w:lang w:val="en-GB"/>
        </w:rPr>
      </w:pPr>
    </w:p>
    <w:p w:rsidR="00DE3795" w:rsidRDefault="00DE3795" w:rsidP="00DE3795">
      <w:pPr>
        <w:pStyle w:val="Default"/>
        <w:ind w:left="708"/>
        <w:jc w:val="both"/>
        <w:rPr>
          <w:sz w:val="18"/>
          <w:szCs w:val="18"/>
        </w:rPr>
      </w:pPr>
      <w:r>
        <w:rPr>
          <w:sz w:val="18"/>
          <w:szCs w:val="18"/>
        </w:rPr>
        <w:t xml:space="preserve">Le projet concerne des investissements dans divers outils pilotes de conversion de l’électricité en hydrogène. </w:t>
      </w:r>
    </w:p>
    <w:p w:rsidR="00DE3795" w:rsidRDefault="00DE3795" w:rsidP="00DE3795">
      <w:pPr>
        <w:pStyle w:val="Default"/>
        <w:ind w:left="708"/>
        <w:jc w:val="both"/>
        <w:rPr>
          <w:sz w:val="18"/>
          <w:szCs w:val="18"/>
        </w:rPr>
      </w:pPr>
    </w:p>
    <w:p w:rsidR="00DE3795" w:rsidRDefault="00DE3795" w:rsidP="00DE3795">
      <w:pPr>
        <w:pStyle w:val="Default"/>
        <w:ind w:left="708"/>
        <w:jc w:val="both"/>
        <w:rPr>
          <w:sz w:val="18"/>
          <w:szCs w:val="18"/>
        </w:rPr>
      </w:pPr>
      <w:r>
        <w:rPr>
          <w:sz w:val="18"/>
          <w:szCs w:val="18"/>
        </w:rPr>
        <w:t xml:space="preserve">Un appel à projets sera lancé afin de faire émerger des solutions et de les tester à l’échelle locale. </w:t>
      </w:r>
    </w:p>
    <w:p w:rsidR="00DE3795" w:rsidRDefault="00DE3795" w:rsidP="00DE3795">
      <w:pPr>
        <w:pStyle w:val="Default"/>
        <w:ind w:left="708"/>
        <w:jc w:val="both"/>
        <w:rPr>
          <w:sz w:val="18"/>
          <w:szCs w:val="18"/>
        </w:rPr>
      </w:pPr>
    </w:p>
    <w:p w:rsidR="00DE3795" w:rsidRDefault="00DE3795" w:rsidP="00DE3795">
      <w:pPr>
        <w:pStyle w:val="Default"/>
        <w:ind w:left="708"/>
        <w:jc w:val="both"/>
        <w:rPr>
          <w:sz w:val="18"/>
          <w:szCs w:val="18"/>
        </w:rPr>
      </w:pPr>
      <w:r>
        <w:rPr>
          <w:sz w:val="18"/>
          <w:szCs w:val="18"/>
        </w:rPr>
        <w:t xml:space="preserve">Des projets de 3 types sont attendus : </w:t>
      </w:r>
    </w:p>
    <w:p w:rsidR="00DE3795" w:rsidRDefault="00DE3795" w:rsidP="00DE3795">
      <w:pPr>
        <w:pStyle w:val="Default"/>
        <w:ind w:left="708"/>
        <w:jc w:val="both"/>
        <w:rPr>
          <w:sz w:val="18"/>
          <w:szCs w:val="18"/>
        </w:rPr>
      </w:pPr>
    </w:p>
    <w:p w:rsidR="00DE3795" w:rsidRDefault="00DE3795" w:rsidP="00DE3795">
      <w:pPr>
        <w:pStyle w:val="Default"/>
        <w:spacing w:after="108"/>
        <w:ind w:left="1418" w:hanging="2"/>
        <w:jc w:val="both"/>
        <w:rPr>
          <w:sz w:val="18"/>
          <w:szCs w:val="18"/>
        </w:rPr>
      </w:pPr>
      <w:r>
        <w:rPr>
          <w:sz w:val="18"/>
          <w:szCs w:val="18"/>
        </w:rPr>
        <w:t xml:space="preserve">• P2I : Un site intégré de production électrique variable (éolien et/ou PV) et de production d’hydrogène à des fins industrielles ; </w:t>
      </w:r>
    </w:p>
    <w:p w:rsidR="00DE3795" w:rsidRDefault="00DE3795" w:rsidP="00DE3795">
      <w:pPr>
        <w:pStyle w:val="Default"/>
        <w:spacing w:after="108"/>
        <w:ind w:left="1418" w:hanging="2"/>
        <w:jc w:val="both"/>
        <w:rPr>
          <w:sz w:val="18"/>
          <w:szCs w:val="18"/>
        </w:rPr>
      </w:pPr>
      <w:r>
        <w:rPr>
          <w:sz w:val="18"/>
          <w:szCs w:val="18"/>
        </w:rPr>
        <w:t xml:space="preserve">• P2G : Un site intégré de production électrique variable (éolien et/ou PV) et de production d’hydrogène en vue de son injection dans le réseau de gaz naturel (injection directe) ; </w:t>
      </w:r>
    </w:p>
    <w:p w:rsidR="00DE3795" w:rsidRDefault="00DE3795" w:rsidP="00DE3795">
      <w:pPr>
        <w:pStyle w:val="Default"/>
        <w:ind w:left="1418" w:hanging="2"/>
        <w:jc w:val="both"/>
        <w:rPr>
          <w:sz w:val="18"/>
          <w:szCs w:val="18"/>
        </w:rPr>
      </w:pPr>
      <w:r>
        <w:rPr>
          <w:sz w:val="18"/>
          <w:szCs w:val="18"/>
        </w:rPr>
        <w:t xml:space="preserve">• P2M : Un site de production d’hydrogène en vue de son utilisation comme carburant en transport de marchandise (alimentation d’une flotte captive de camions) ; </w:t>
      </w:r>
    </w:p>
    <w:p w:rsidR="00DE3795" w:rsidRDefault="00DE3795" w:rsidP="00DE3795">
      <w:pPr>
        <w:spacing w:after="240"/>
        <w:jc w:val="both"/>
        <w:rPr>
          <w:rFonts w:ascii="Verdana" w:hAnsi="Verdana"/>
          <w:sz w:val="20"/>
          <w:szCs w:val="20"/>
        </w:rPr>
      </w:pPr>
    </w:p>
    <w:p w:rsidR="00DE3795" w:rsidRDefault="00DE3795" w:rsidP="00DE3795">
      <w:pPr>
        <w:spacing w:after="240"/>
        <w:jc w:val="both"/>
        <w:rPr>
          <w:rFonts w:ascii="Verdana" w:hAnsi="Verdana"/>
          <w:sz w:val="20"/>
          <w:szCs w:val="20"/>
        </w:rPr>
      </w:pPr>
      <w:r>
        <w:rPr>
          <w:rFonts w:ascii="Verdana" w:hAnsi="Verdana"/>
          <w:sz w:val="20"/>
          <w:szCs w:val="20"/>
        </w:rPr>
        <w:t>Le présent appel vise spécifiquement l</w:t>
      </w:r>
      <w:r w:rsidR="00520EA1">
        <w:rPr>
          <w:rFonts w:ascii="Verdana" w:hAnsi="Verdana"/>
          <w:sz w:val="20"/>
          <w:szCs w:val="20"/>
        </w:rPr>
        <w:t>e P2M adapté pour le transport de personnes</w:t>
      </w:r>
      <w:r>
        <w:rPr>
          <w:rFonts w:ascii="Verdana" w:hAnsi="Verdana"/>
          <w:sz w:val="20"/>
          <w:szCs w:val="20"/>
        </w:rPr>
        <w:t>.</w:t>
      </w:r>
    </w:p>
    <w:p w:rsidR="00D51AAA" w:rsidRDefault="00D51AAA" w:rsidP="00DE3795">
      <w:pPr>
        <w:spacing w:after="240"/>
        <w:jc w:val="both"/>
        <w:rPr>
          <w:rFonts w:ascii="Verdana" w:hAnsi="Verdana"/>
          <w:b/>
          <w:sz w:val="20"/>
          <w:szCs w:val="20"/>
          <w:u w:val="single"/>
        </w:rPr>
      </w:pPr>
      <w:r>
        <w:rPr>
          <w:rFonts w:ascii="Verdana" w:hAnsi="Verdana"/>
          <w:b/>
          <w:sz w:val="20"/>
          <w:szCs w:val="20"/>
          <w:u w:val="single"/>
        </w:rPr>
        <w:t xml:space="preserve">Contexte général de l’appel </w:t>
      </w:r>
    </w:p>
    <w:p w:rsidR="00C43330" w:rsidRDefault="00C43330" w:rsidP="00DE3795">
      <w:pPr>
        <w:spacing w:after="240"/>
        <w:jc w:val="both"/>
        <w:rPr>
          <w:rFonts w:ascii="Verdana" w:hAnsi="Verdana"/>
          <w:sz w:val="20"/>
          <w:szCs w:val="20"/>
        </w:rPr>
      </w:pPr>
      <w:r>
        <w:rPr>
          <w:rFonts w:ascii="Verdana" w:hAnsi="Verdana"/>
          <w:sz w:val="20"/>
          <w:szCs w:val="20"/>
        </w:rPr>
        <w:t xml:space="preserve">L’hydrogène s’est profilé </w:t>
      </w:r>
      <w:r w:rsidR="00DC05A8">
        <w:rPr>
          <w:rFonts w:ascii="Verdana" w:hAnsi="Verdana"/>
          <w:sz w:val="20"/>
          <w:szCs w:val="20"/>
        </w:rPr>
        <w:t>c</w:t>
      </w:r>
      <w:r>
        <w:rPr>
          <w:rFonts w:ascii="Verdana" w:hAnsi="Verdana"/>
          <w:sz w:val="20"/>
          <w:szCs w:val="20"/>
        </w:rPr>
        <w:t>es dernières années comme un des éléments qui permettront la transition énergétique et une meilleure intégration des énergies renouvelables. De par sa capacité et sa facilité de stockage, l’hydrogène produit par électrolyse d’eau offre également des perspectives d’électrification dans divers secteurs quotidiens et économiques.</w:t>
      </w:r>
    </w:p>
    <w:p w:rsidR="00C43330" w:rsidRDefault="00C43330" w:rsidP="00DE3795">
      <w:pPr>
        <w:spacing w:after="240"/>
        <w:jc w:val="both"/>
        <w:rPr>
          <w:rFonts w:ascii="Verdana" w:hAnsi="Verdana"/>
          <w:sz w:val="20"/>
          <w:szCs w:val="20"/>
        </w:rPr>
      </w:pPr>
      <w:r>
        <w:rPr>
          <w:rFonts w:ascii="Verdana" w:hAnsi="Verdana"/>
          <w:sz w:val="20"/>
          <w:szCs w:val="20"/>
        </w:rPr>
        <w:t>Plusieurs feuilles de routes ont démontré cet intérêt croissant :</w:t>
      </w:r>
    </w:p>
    <w:p w:rsidR="00C43330" w:rsidRDefault="00C43330" w:rsidP="00C43330">
      <w:pPr>
        <w:pStyle w:val="Paragraphedeliste"/>
        <w:numPr>
          <w:ilvl w:val="0"/>
          <w:numId w:val="15"/>
        </w:numPr>
        <w:spacing w:after="240"/>
        <w:jc w:val="both"/>
        <w:rPr>
          <w:rFonts w:ascii="Verdana" w:hAnsi="Verdana"/>
          <w:sz w:val="20"/>
          <w:szCs w:val="20"/>
        </w:rPr>
      </w:pPr>
      <w:r>
        <w:rPr>
          <w:rFonts w:ascii="Verdana" w:hAnsi="Verdana"/>
          <w:sz w:val="20"/>
          <w:szCs w:val="20"/>
        </w:rPr>
        <w:t xml:space="preserve">Agence internationale de l’Energie (AIE) : </w:t>
      </w:r>
      <w:hyperlink r:id="rId6" w:history="1">
        <w:r w:rsidRPr="00A46863">
          <w:rPr>
            <w:rStyle w:val="Lienhypertexte"/>
            <w:rFonts w:ascii="Verdana" w:hAnsi="Verdana"/>
            <w:sz w:val="20"/>
            <w:szCs w:val="20"/>
          </w:rPr>
          <w:t>https://webstore.iea.org/technology-roadmap-hydrogen-and-fuel-cells</w:t>
        </w:r>
      </w:hyperlink>
      <w:r>
        <w:rPr>
          <w:rFonts w:ascii="Verdana" w:hAnsi="Verdana"/>
          <w:sz w:val="20"/>
          <w:szCs w:val="20"/>
        </w:rPr>
        <w:t xml:space="preserve"> (en cours de révision)</w:t>
      </w:r>
    </w:p>
    <w:p w:rsidR="00C43330" w:rsidRDefault="00C43330" w:rsidP="00C43330">
      <w:pPr>
        <w:pStyle w:val="Paragraphedeliste"/>
        <w:numPr>
          <w:ilvl w:val="0"/>
          <w:numId w:val="15"/>
        </w:numPr>
        <w:spacing w:after="240"/>
        <w:jc w:val="both"/>
        <w:rPr>
          <w:rFonts w:ascii="Verdana" w:hAnsi="Verdana"/>
          <w:sz w:val="20"/>
          <w:szCs w:val="20"/>
        </w:rPr>
      </w:pPr>
      <w:r>
        <w:rPr>
          <w:rFonts w:ascii="Verdana" w:hAnsi="Verdana"/>
          <w:sz w:val="20"/>
          <w:szCs w:val="20"/>
        </w:rPr>
        <w:t xml:space="preserve">Agence internationale pour les Energies renouvelables (IRENA) : </w:t>
      </w:r>
      <w:hyperlink r:id="rId7" w:history="1">
        <w:r w:rsidRPr="00A46863">
          <w:rPr>
            <w:rStyle w:val="Lienhypertexte"/>
            <w:rFonts w:ascii="Verdana" w:hAnsi="Verdana"/>
            <w:sz w:val="20"/>
            <w:szCs w:val="20"/>
          </w:rPr>
          <w:t>https://www.irena.org/publications/2018/Sep/Hydrogen-from-renewable-power</w:t>
        </w:r>
      </w:hyperlink>
    </w:p>
    <w:p w:rsidR="00C43330" w:rsidRDefault="0087494F" w:rsidP="00C43330">
      <w:pPr>
        <w:pStyle w:val="Paragraphedeliste"/>
        <w:numPr>
          <w:ilvl w:val="0"/>
          <w:numId w:val="15"/>
        </w:numPr>
        <w:spacing w:after="240"/>
        <w:jc w:val="both"/>
        <w:rPr>
          <w:rFonts w:ascii="Verdana" w:hAnsi="Verdana"/>
          <w:sz w:val="20"/>
          <w:szCs w:val="20"/>
        </w:rPr>
      </w:pPr>
      <w:r>
        <w:rPr>
          <w:rFonts w:ascii="Verdana" w:hAnsi="Verdana"/>
          <w:sz w:val="20"/>
          <w:szCs w:val="20"/>
        </w:rPr>
        <w:t xml:space="preserve">Entreprise conjointe pour les Piles à Combustibles et l’Hydrogène (FCH-JU) : </w:t>
      </w:r>
      <w:hyperlink r:id="rId8" w:history="1">
        <w:r w:rsidRPr="00A46863">
          <w:rPr>
            <w:rStyle w:val="Lienhypertexte"/>
            <w:rFonts w:ascii="Verdana" w:hAnsi="Verdana"/>
            <w:sz w:val="20"/>
            <w:szCs w:val="20"/>
          </w:rPr>
          <w:t>https://www.fch.europa.eu/news/hydrogen-roadmap-europe-sustainable-pathway-european-energy-transition</w:t>
        </w:r>
      </w:hyperlink>
    </w:p>
    <w:p w:rsidR="0087494F" w:rsidRDefault="0087494F" w:rsidP="0087494F">
      <w:pPr>
        <w:spacing w:after="240"/>
        <w:jc w:val="both"/>
        <w:rPr>
          <w:rFonts w:ascii="Verdana" w:hAnsi="Verdana"/>
          <w:sz w:val="20"/>
          <w:szCs w:val="20"/>
        </w:rPr>
      </w:pPr>
      <w:r>
        <w:rPr>
          <w:rFonts w:ascii="Verdana" w:hAnsi="Verdana"/>
          <w:sz w:val="20"/>
          <w:szCs w:val="20"/>
        </w:rPr>
        <w:t xml:space="preserve">Au niveau belge, </w:t>
      </w:r>
      <w:r w:rsidR="00EA1E5B">
        <w:rPr>
          <w:rFonts w:ascii="Verdana" w:hAnsi="Verdana"/>
          <w:sz w:val="20"/>
          <w:szCs w:val="20"/>
        </w:rPr>
        <w:t>l’association flamande WATERSTOFNET et le Cluster TWEED ont chacun dressé un état des lieu</w:t>
      </w:r>
      <w:r w:rsidR="00D96C34">
        <w:rPr>
          <w:rFonts w:ascii="Verdana" w:hAnsi="Verdana"/>
          <w:sz w:val="20"/>
          <w:szCs w:val="20"/>
        </w:rPr>
        <w:t>x</w:t>
      </w:r>
      <w:r w:rsidR="00EA1E5B">
        <w:rPr>
          <w:rFonts w:ascii="Verdana" w:hAnsi="Verdana"/>
          <w:sz w:val="20"/>
          <w:szCs w:val="20"/>
        </w:rPr>
        <w:t xml:space="preserve"> des technologies respectivement pour la Flandre et la Wallonie.</w:t>
      </w:r>
    </w:p>
    <w:p w:rsidR="00EA1E5B" w:rsidRDefault="00EA1E5B" w:rsidP="0087494F">
      <w:pPr>
        <w:spacing w:after="240"/>
        <w:jc w:val="both"/>
        <w:rPr>
          <w:rFonts w:ascii="Verdana" w:hAnsi="Verdana"/>
          <w:sz w:val="20"/>
          <w:szCs w:val="20"/>
        </w:rPr>
      </w:pPr>
    </w:p>
    <w:p w:rsidR="00EA1E5B" w:rsidRDefault="00EA1E5B" w:rsidP="0087494F">
      <w:pPr>
        <w:spacing w:after="240"/>
        <w:jc w:val="both"/>
        <w:rPr>
          <w:rFonts w:ascii="Verdana" w:hAnsi="Verdana"/>
          <w:sz w:val="20"/>
          <w:szCs w:val="20"/>
        </w:rPr>
      </w:pPr>
      <w:r>
        <w:rPr>
          <w:rFonts w:ascii="Verdana" w:hAnsi="Verdana"/>
          <w:sz w:val="20"/>
          <w:szCs w:val="20"/>
        </w:rPr>
        <w:t xml:space="preserve">Les divers constats tirés au travers de ces réflexions technologiques ont incité les </w:t>
      </w:r>
      <w:r w:rsidR="00FC57C2">
        <w:rPr>
          <w:rFonts w:ascii="Verdana" w:hAnsi="Verdana"/>
          <w:sz w:val="20"/>
          <w:szCs w:val="20"/>
        </w:rPr>
        <w:t>divers Ministres de l’Energie à inscrire les technologies de Power-to-X dans le Pacte énergétique ainsi que dans les divers Plans régionaux pour l’Energie et le Climat qui visent prioritairement à mettre en place, dans un premier temps</w:t>
      </w:r>
      <w:r w:rsidR="008F3630">
        <w:rPr>
          <w:rFonts w:ascii="Verdana" w:hAnsi="Verdana"/>
          <w:sz w:val="20"/>
          <w:szCs w:val="20"/>
        </w:rPr>
        <w:t>, des démonstrateurs dans les filières les plus matures nécessaires à ces technologies disruptives.</w:t>
      </w:r>
    </w:p>
    <w:p w:rsidR="008F3630" w:rsidRDefault="008F3630" w:rsidP="0087494F">
      <w:pPr>
        <w:spacing w:after="240"/>
        <w:jc w:val="both"/>
        <w:rPr>
          <w:rFonts w:ascii="Verdana" w:hAnsi="Verdana"/>
          <w:sz w:val="20"/>
          <w:szCs w:val="20"/>
        </w:rPr>
      </w:pPr>
      <w:r>
        <w:rPr>
          <w:rFonts w:ascii="Verdana" w:hAnsi="Verdana"/>
          <w:sz w:val="20"/>
          <w:szCs w:val="20"/>
        </w:rPr>
        <w:t xml:space="preserve">C’est en regard de ces nouveaux enjeux énergétiques que le Gouvernement wallon a approuvé le Plan wallon d’Investissement dans lequel une attention importante a été apportée à la production et à la valorisation d’hydrogène issu de l’électrolyse de l’eau et que ce premier appel à </w:t>
      </w:r>
      <w:r w:rsidR="00DC05A8">
        <w:rPr>
          <w:rFonts w:ascii="Verdana" w:hAnsi="Verdana"/>
          <w:sz w:val="20"/>
          <w:szCs w:val="20"/>
        </w:rPr>
        <w:t>candidat est</w:t>
      </w:r>
      <w:r>
        <w:rPr>
          <w:rFonts w:ascii="Verdana" w:hAnsi="Verdana"/>
          <w:sz w:val="20"/>
          <w:szCs w:val="20"/>
        </w:rPr>
        <w:t xml:space="preserve"> lancé.</w:t>
      </w:r>
    </w:p>
    <w:p w:rsidR="008F3630" w:rsidRPr="008F3630" w:rsidRDefault="008F3630" w:rsidP="0087494F">
      <w:pPr>
        <w:spacing w:after="240"/>
        <w:jc w:val="both"/>
        <w:rPr>
          <w:rFonts w:ascii="Verdana" w:hAnsi="Verdana"/>
          <w:b/>
          <w:sz w:val="20"/>
          <w:szCs w:val="20"/>
          <w:u w:val="single"/>
        </w:rPr>
      </w:pPr>
      <w:r>
        <w:rPr>
          <w:rFonts w:ascii="Verdana" w:hAnsi="Verdana"/>
          <w:b/>
          <w:sz w:val="20"/>
          <w:szCs w:val="20"/>
          <w:u w:val="single"/>
        </w:rPr>
        <w:t>Portée de l’appel</w:t>
      </w:r>
    </w:p>
    <w:p w:rsidR="00D51AAA" w:rsidRDefault="00D51AAA" w:rsidP="00DE3795">
      <w:pPr>
        <w:spacing w:after="240"/>
        <w:jc w:val="both"/>
        <w:rPr>
          <w:rFonts w:ascii="Verdana" w:hAnsi="Verdana"/>
          <w:sz w:val="20"/>
          <w:szCs w:val="20"/>
        </w:rPr>
      </w:pPr>
      <w:r>
        <w:rPr>
          <w:rFonts w:ascii="Verdana" w:hAnsi="Verdana"/>
          <w:sz w:val="20"/>
          <w:szCs w:val="20"/>
        </w:rPr>
        <w:t>Au minimum, deux projets pourront être soutenus au travers de cet appel. Afin de disposer d’une visibilité et d’une masse critique suffisante</w:t>
      </w:r>
      <w:r w:rsidR="00EB3E02">
        <w:rPr>
          <w:rFonts w:ascii="Verdana" w:hAnsi="Verdana"/>
          <w:sz w:val="20"/>
          <w:szCs w:val="20"/>
        </w:rPr>
        <w:t>s</w:t>
      </w:r>
      <w:r>
        <w:rPr>
          <w:rFonts w:ascii="Verdana" w:hAnsi="Verdana"/>
          <w:sz w:val="20"/>
          <w:szCs w:val="20"/>
        </w:rPr>
        <w:t xml:space="preserve">, ils devront idéalement être déployés dans un des deux </w:t>
      </w:r>
      <w:r w:rsidR="00EB3E02">
        <w:rPr>
          <w:rFonts w:ascii="Verdana" w:hAnsi="Verdana"/>
          <w:sz w:val="20"/>
          <w:szCs w:val="20"/>
        </w:rPr>
        <w:t>Pôles majeurs</w:t>
      </w:r>
      <w:r>
        <w:rPr>
          <w:rFonts w:ascii="Verdana" w:hAnsi="Verdana"/>
          <w:sz w:val="20"/>
          <w:szCs w:val="20"/>
        </w:rPr>
        <w:t xml:space="preserve"> wallons (Charleroi et Liège)</w:t>
      </w:r>
      <w:r w:rsidR="00EB3E02">
        <w:rPr>
          <w:rFonts w:ascii="Verdana" w:hAnsi="Verdana"/>
          <w:sz w:val="20"/>
          <w:szCs w:val="20"/>
        </w:rPr>
        <w:t xml:space="preserve"> au sens du futur Schéma de Développement Territorial (SDT)</w:t>
      </w:r>
      <w:r>
        <w:rPr>
          <w:rFonts w:ascii="Verdana" w:hAnsi="Verdana"/>
          <w:sz w:val="20"/>
          <w:szCs w:val="20"/>
        </w:rPr>
        <w:t>.</w:t>
      </w:r>
    </w:p>
    <w:p w:rsidR="00D51AAA" w:rsidRDefault="00D51AAA" w:rsidP="00DE3795">
      <w:pPr>
        <w:spacing w:after="240"/>
        <w:jc w:val="both"/>
        <w:rPr>
          <w:rFonts w:ascii="Verdana" w:hAnsi="Verdana"/>
          <w:sz w:val="20"/>
          <w:szCs w:val="20"/>
        </w:rPr>
      </w:pPr>
      <w:r>
        <w:rPr>
          <w:rFonts w:ascii="Verdana" w:hAnsi="Verdana"/>
          <w:sz w:val="20"/>
          <w:szCs w:val="20"/>
        </w:rPr>
        <w:t>Comme l’intitulé l’indique, les applications liées à la mobilité</w:t>
      </w:r>
      <w:r w:rsidR="00DE3C66">
        <w:rPr>
          <w:rFonts w:ascii="Verdana" w:hAnsi="Verdana"/>
          <w:sz w:val="20"/>
          <w:szCs w:val="20"/>
        </w:rPr>
        <w:t xml:space="preserve"> et au transport</w:t>
      </w:r>
      <w:r>
        <w:rPr>
          <w:rFonts w:ascii="Verdana" w:hAnsi="Verdana"/>
          <w:sz w:val="20"/>
          <w:szCs w:val="20"/>
        </w:rPr>
        <w:t xml:space="preserve"> seront exclusivement privilégiées avec une priorité à des solutions captives à même de permettre la mise en œuvre d’un modèle économique cohérent et rentable pour les installations de production et de distribution d’hydrogène.</w:t>
      </w:r>
    </w:p>
    <w:p w:rsidR="00DE3C66" w:rsidRDefault="00C35947" w:rsidP="00D51AAA">
      <w:pPr>
        <w:spacing w:after="240"/>
        <w:jc w:val="both"/>
        <w:rPr>
          <w:rFonts w:ascii="Verdana" w:hAnsi="Verdana"/>
          <w:sz w:val="20"/>
          <w:szCs w:val="20"/>
        </w:rPr>
      </w:pPr>
      <w:r>
        <w:rPr>
          <w:rFonts w:ascii="Verdana" w:hAnsi="Verdana"/>
          <w:sz w:val="20"/>
          <w:szCs w:val="20"/>
        </w:rPr>
        <w:t>L</w:t>
      </w:r>
      <w:r w:rsidR="00D51AAA">
        <w:rPr>
          <w:rFonts w:ascii="Verdana" w:hAnsi="Verdana"/>
          <w:sz w:val="20"/>
          <w:szCs w:val="20"/>
        </w:rPr>
        <w:t>es projets devront pouvoir s’articuler autour d’autres actions politiques</w:t>
      </w:r>
      <w:r w:rsidR="008A2E3A">
        <w:rPr>
          <w:rFonts w:ascii="Verdana" w:hAnsi="Verdana"/>
          <w:sz w:val="20"/>
          <w:szCs w:val="20"/>
        </w:rPr>
        <w:t xml:space="preserve"> en matière de mobilité et de transport</w:t>
      </w:r>
      <w:r w:rsidR="00D51AAA">
        <w:rPr>
          <w:rFonts w:ascii="Verdana" w:hAnsi="Verdana"/>
          <w:sz w:val="20"/>
          <w:szCs w:val="20"/>
        </w:rPr>
        <w:t xml:space="preserve"> proposées par le </w:t>
      </w:r>
      <w:r w:rsidR="00D51AAA" w:rsidRPr="00D51AAA">
        <w:rPr>
          <w:rFonts w:ascii="Verdana" w:hAnsi="Verdana"/>
          <w:sz w:val="20"/>
          <w:szCs w:val="20"/>
        </w:rPr>
        <w:t xml:space="preserve">Gouvernement wallon. Mentionnons, ainsi, </w:t>
      </w:r>
      <w:r w:rsidR="00DE3C66">
        <w:rPr>
          <w:rFonts w:ascii="Verdana" w:hAnsi="Verdana"/>
          <w:sz w:val="20"/>
          <w:szCs w:val="20"/>
        </w:rPr>
        <w:t>à titre d’exemple :</w:t>
      </w:r>
    </w:p>
    <w:p w:rsidR="00D51AAA" w:rsidRPr="00035CEA" w:rsidRDefault="00DE3C66" w:rsidP="00D51AAA">
      <w:pPr>
        <w:spacing w:after="240"/>
        <w:jc w:val="both"/>
        <w:rPr>
          <w:rFonts w:ascii="Verdana" w:hAnsi="Verdana" w:cs="Calibri"/>
          <w:bCs/>
          <w:sz w:val="20"/>
          <w:szCs w:val="20"/>
        </w:rPr>
      </w:pPr>
      <w:r w:rsidRPr="00035CEA">
        <w:rPr>
          <w:rFonts w:ascii="Verdana" w:hAnsi="Verdana"/>
          <w:sz w:val="20"/>
          <w:szCs w:val="20"/>
        </w:rPr>
        <w:t xml:space="preserve">- </w:t>
      </w:r>
      <w:r w:rsidR="00D51AAA" w:rsidRPr="00035CEA">
        <w:rPr>
          <w:rFonts w:ascii="Verdana" w:hAnsi="Verdana"/>
          <w:sz w:val="20"/>
          <w:szCs w:val="20"/>
        </w:rPr>
        <w:t>les opérations de verdissement de la flotte de bus de l’OTW-TEC. Un objectif environnemental est, ainsi, repris dans le contrat de service public de l’OTW, afin de contribuer aux objectifs de développement durable régionaux :</w:t>
      </w:r>
      <w:r w:rsidR="00D51AAA" w:rsidRPr="00035CEA">
        <w:rPr>
          <w:rFonts w:ascii="Verdana" w:hAnsi="Verdana" w:cs="Calibri"/>
          <w:bCs/>
          <w:sz w:val="20"/>
          <w:szCs w:val="20"/>
        </w:rPr>
        <w:t xml:space="preserve"> </w:t>
      </w:r>
    </w:p>
    <w:p w:rsidR="00D51AAA" w:rsidRPr="00035CEA" w:rsidRDefault="00D51AAA" w:rsidP="00D51AAA">
      <w:pPr>
        <w:autoSpaceDE w:val="0"/>
        <w:autoSpaceDN w:val="0"/>
        <w:adjustRightInd w:val="0"/>
        <w:spacing w:after="240"/>
        <w:jc w:val="both"/>
        <w:rPr>
          <w:rFonts w:ascii="Verdana" w:hAnsi="Verdana"/>
          <w:sz w:val="20"/>
          <w:szCs w:val="20"/>
        </w:rPr>
      </w:pPr>
      <w:r w:rsidRPr="00035CEA">
        <w:rPr>
          <w:rFonts w:ascii="Verdana" w:hAnsi="Verdana"/>
          <w:sz w:val="20"/>
          <w:szCs w:val="20"/>
        </w:rPr>
        <w:t>« </w:t>
      </w:r>
      <w:r w:rsidRPr="00035CEA">
        <w:rPr>
          <w:rFonts w:ascii="Verdana" w:hAnsi="Verdana"/>
          <w:i/>
          <w:sz w:val="20"/>
          <w:szCs w:val="20"/>
        </w:rPr>
        <w:t>Atteindre l’objectif d’une diminution de 30 % des émissions de CO2 par kilomètre en charge en moyenne pour l’ensemble des services toutes activités comprises par rapport aux émissions actuelles dument validées par l’AOT.</w:t>
      </w:r>
      <w:r w:rsidRPr="00035CEA">
        <w:rPr>
          <w:rFonts w:ascii="Verdana" w:hAnsi="Verdana"/>
          <w:sz w:val="20"/>
          <w:szCs w:val="20"/>
        </w:rPr>
        <w:t> »</w:t>
      </w:r>
    </w:p>
    <w:p w:rsidR="00D51AAA" w:rsidRPr="00D51AAA" w:rsidRDefault="00D51AAA" w:rsidP="00D51AAA">
      <w:pPr>
        <w:spacing w:after="240"/>
        <w:jc w:val="both"/>
        <w:rPr>
          <w:rFonts w:ascii="Verdana" w:hAnsi="Verdana"/>
          <w:sz w:val="20"/>
          <w:szCs w:val="20"/>
        </w:rPr>
      </w:pPr>
      <w:r w:rsidRPr="00035CEA">
        <w:rPr>
          <w:rFonts w:ascii="Verdana" w:hAnsi="Verdana" w:cs="Calibri"/>
          <w:bCs/>
          <w:sz w:val="20"/>
          <w:szCs w:val="20"/>
        </w:rPr>
        <w:t>À cette fin, l’OTW envisage toutes les formes de carburants alternatifs. Afin d’</w:t>
      </w:r>
      <w:r w:rsidRPr="00035CEA">
        <w:rPr>
          <w:rFonts w:ascii="Verdana" w:hAnsi="Verdana" w:cs="Calibri"/>
          <w:sz w:val="20"/>
          <w:szCs w:val="20"/>
        </w:rPr>
        <w:t>évaluer la faisabilité opérationnelle de l’implantation de l’hydrogène (considéré zéro émission) comme carburant alternatif, l’OTW</w:t>
      </w:r>
      <w:r w:rsidRPr="00035CEA">
        <w:rPr>
          <w:rFonts w:ascii="Verdana" w:hAnsi="Verdana"/>
          <w:sz w:val="20"/>
          <w:szCs w:val="20"/>
        </w:rPr>
        <w:t xml:space="preserve"> envisage, ainsi, de réaliser 1 ou 2 projets pilotes consistant à s’équiper de bus roulant à l’hydrogène.</w:t>
      </w:r>
      <w:r w:rsidRPr="00D51AAA">
        <w:rPr>
          <w:rFonts w:ascii="Verdana" w:hAnsi="Verdana"/>
          <w:sz w:val="20"/>
          <w:szCs w:val="20"/>
        </w:rPr>
        <w:t xml:space="preserve"> </w:t>
      </w:r>
    </w:p>
    <w:p w:rsidR="00DE3C66" w:rsidRDefault="00DE3C66" w:rsidP="00DE3C66">
      <w:pPr>
        <w:spacing w:after="240"/>
        <w:jc w:val="both"/>
        <w:rPr>
          <w:rFonts w:ascii="Verdana" w:hAnsi="Verdana"/>
          <w:sz w:val="20"/>
          <w:szCs w:val="20"/>
        </w:rPr>
      </w:pPr>
      <w:r>
        <w:rPr>
          <w:rFonts w:ascii="Verdana" w:hAnsi="Verdana"/>
          <w:sz w:val="20"/>
          <w:szCs w:val="20"/>
        </w:rPr>
        <w:t xml:space="preserve">- </w:t>
      </w:r>
      <w:r w:rsidRPr="00D51AAA">
        <w:rPr>
          <w:rFonts w:ascii="Verdana" w:hAnsi="Verdana"/>
          <w:sz w:val="20"/>
          <w:szCs w:val="20"/>
        </w:rPr>
        <w:t>l</w:t>
      </w:r>
      <w:r>
        <w:rPr>
          <w:rFonts w:ascii="Verdana" w:hAnsi="Verdana"/>
          <w:sz w:val="20"/>
          <w:szCs w:val="20"/>
        </w:rPr>
        <w:t xml:space="preserve">a feuille de route logistique menée par le Pôle </w:t>
      </w:r>
      <w:proofErr w:type="spellStart"/>
      <w:r>
        <w:rPr>
          <w:rFonts w:ascii="Verdana" w:hAnsi="Verdana"/>
          <w:sz w:val="20"/>
          <w:szCs w:val="20"/>
        </w:rPr>
        <w:t>Logistics</w:t>
      </w:r>
      <w:proofErr w:type="spellEnd"/>
      <w:r>
        <w:rPr>
          <w:rFonts w:ascii="Verdana" w:hAnsi="Verdana"/>
          <w:sz w:val="20"/>
          <w:szCs w:val="20"/>
        </w:rPr>
        <w:t xml:space="preserve"> in </w:t>
      </w:r>
      <w:proofErr w:type="spellStart"/>
      <w:r>
        <w:rPr>
          <w:rFonts w:ascii="Verdana" w:hAnsi="Verdana"/>
          <w:sz w:val="20"/>
          <w:szCs w:val="20"/>
        </w:rPr>
        <w:t>Wallonia</w:t>
      </w:r>
      <w:proofErr w:type="spellEnd"/>
      <w:r>
        <w:rPr>
          <w:rFonts w:ascii="Verdana" w:hAnsi="Verdana"/>
          <w:sz w:val="20"/>
          <w:szCs w:val="20"/>
        </w:rPr>
        <w:t xml:space="preserve"> et le volet « transport et logistique » de la </w:t>
      </w:r>
      <w:r w:rsidR="00DC05A8">
        <w:rPr>
          <w:rFonts w:ascii="Verdana" w:hAnsi="Verdana"/>
          <w:sz w:val="20"/>
          <w:szCs w:val="20"/>
        </w:rPr>
        <w:t>Stratégie</w:t>
      </w:r>
      <w:r>
        <w:rPr>
          <w:rFonts w:ascii="Verdana" w:hAnsi="Verdana"/>
          <w:sz w:val="20"/>
          <w:szCs w:val="20"/>
        </w:rPr>
        <w:t xml:space="preserve"> régionale de mobilité (SRM) où le transfert de carburant (fuel switch) est perçu comme une opportunité vers une logistique plus durable.</w:t>
      </w:r>
    </w:p>
    <w:p w:rsidR="00D96C34" w:rsidRDefault="00D96C34" w:rsidP="00DE3C66">
      <w:pPr>
        <w:spacing w:after="240"/>
        <w:jc w:val="both"/>
        <w:rPr>
          <w:rFonts w:ascii="Verdana" w:hAnsi="Verdana"/>
          <w:b/>
          <w:sz w:val="20"/>
          <w:szCs w:val="20"/>
          <w:u w:val="single"/>
        </w:rPr>
      </w:pPr>
      <w:r>
        <w:rPr>
          <w:rFonts w:ascii="Verdana" w:hAnsi="Verdana"/>
          <w:b/>
          <w:sz w:val="20"/>
          <w:szCs w:val="20"/>
          <w:u w:val="single"/>
        </w:rPr>
        <w:t>Partenariat éligible</w:t>
      </w:r>
    </w:p>
    <w:p w:rsidR="00D96C34" w:rsidRDefault="00D96C34" w:rsidP="00DE3C66">
      <w:pPr>
        <w:spacing w:after="240"/>
        <w:jc w:val="both"/>
        <w:rPr>
          <w:rFonts w:ascii="Verdana" w:hAnsi="Verdana"/>
          <w:sz w:val="20"/>
          <w:szCs w:val="20"/>
        </w:rPr>
      </w:pPr>
      <w:r>
        <w:rPr>
          <w:rFonts w:ascii="Verdana" w:hAnsi="Verdana"/>
          <w:sz w:val="20"/>
          <w:szCs w:val="20"/>
        </w:rPr>
        <w:t>L’appel est ouvert à tout consortium d’acteurs économiques ou industriels sans distinction. Chacun des partenaires du projet doit pouvoir démontrer d’une activité économique substantielle en Région wallonne. Le</w:t>
      </w:r>
      <w:r w:rsidR="00052997">
        <w:rPr>
          <w:rFonts w:ascii="Verdana" w:hAnsi="Verdana"/>
          <w:sz w:val="20"/>
          <w:szCs w:val="20"/>
        </w:rPr>
        <w:t>s partenaires</w:t>
      </w:r>
      <w:r>
        <w:rPr>
          <w:rFonts w:ascii="Verdana" w:hAnsi="Verdana"/>
          <w:sz w:val="20"/>
          <w:szCs w:val="20"/>
        </w:rPr>
        <w:t xml:space="preserve"> du projet doi</w:t>
      </w:r>
      <w:r w:rsidR="00052997">
        <w:rPr>
          <w:rFonts w:ascii="Verdana" w:hAnsi="Verdana"/>
          <w:sz w:val="20"/>
          <w:szCs w:val="20"/>
        </w:rPr>
        <w:t>ven</w:t>
      </w:r>
      <w:r>
        <w:rPr>
          <w:rFonts w:ascii="Verdana" w:hAnsi="Verdana"/>
          <w:sz w:val="20"/>
          <w:szCs w:val="20"/>
        </w:rPr>
        <w:t xml:space="preserve">t pouvoir démontrer d’une expérience </w:t>
      </w:r>
      <w:r w:rsidR="00027367">
        <w:rPr>
          <w:rFonts w:ascii="Verdana" w:hAnsi="Verdana"/>
          <w:sz w:val="20"/>
          <w:szCs w:val="20"/>
        </w:rPr>
        <w:t>dans l’</w:t>
      </w:r>
      <w:r w:rsidR="00052997">
        <w:rPr>
          <w:rFonts w:ascii="Verdana" w:hAnsi="Verdana"/>
          <w:sz w:val="20"/>
          <w:szCs w:val="20"/>
        </w:rPr>
        <w:t>industrie</w:t>
      </w:r>
      <w:r w:rsidR="00027367">
        <w:rPr>
          <w:rFonts w:ascii="Verdana" w:hAnsi="Verdana"/>
          <w:sz w:val="20"/>
          <w:szCs w:val="20"/>
        </w:rPr>
        <w:t xml:space="preserve"> de l’hydrogène</w:t>
      </w:r>
      <w:r w:rsidR="00052997">
        <w:rPr>
          <w:rFonts w:ascii="Verdana" w:hAnsi="Verdana"/>
          <w:sz w:val="20"/>
          <w:szCs w:val="20"/>
        </w:rPr>
        <w:t xml:space="preserve"> ou de toute autre industrie similaire (par ex. les gaz renouvelables)</w:t>
      </w:r>
      <w:r w:rsidR="00027367">
        <w:rPr>
          <w:rFonts w:ascii="Verdana" w:hAnsi="Verdana"/>
          <w:sz w:val="20"/>
          <w:szCs w:val="20"/>
        </w:rPr>
        <w:t>. Cette expérience doit pouvoir être prouvée par soit :</w:t>
      </w:r>
    </w:p>
    <w:p w:rsidR="00027367" w:rsidRDefault="00027367" w:rsidP="00027367">
      <w:pPr>
        <w:pStyle w:val="Paragraphedeliste"/>
        <w:numPr>
          <w:ilvl w:val="0"/>
          <w:numId w:val="15"/>
        </w:numPr>
        <w:spacing w:after="240"/>
        <w:jc w:val="both"/>
        <w:rPr>
          <w:rFonts w:ascii="Verdana" w:hAnsi="Verdana"/>
          <w:sz w:val="20"/>
          <w:szCs w:val="20"/>
        </w:rPr>
      </w:pPr>
      <w:r>
        <w:rPr>
          <w:rFonts w:ascii="Verdana" w:hAnsi="Verdana"/>
          <w:sz w:val="20"/>
          <w:szCs w:val="20"/>
        </w:rPr>
        <w:t>Une implication spécifique dans des projets en rapport avec le présent appel ;</w:t>
      </w:r>
    </w:p>
    <w:p w:rsidR="00027367" w:rsidRDefault="00027367" w:rsidP="00027367">
      <w:pPr>
        <w:pStyle w:val="Paragraphedeliste"/>
        <w:numPr>
          <w:ilvl w:val="0"/>
          <w:numId w:val="15"/>
        </w:numPr>
        <w:spacing w:after="240"/>
        <w:jc w:val="both"/>
        <w:rPr>
          <w:rFonts w:ascii="Verdana" w:hAnsi="Verdana"/>
          <w:sz w:val="20"/>
          <w:szCs w:val="20"/>
        </w:rPr>
      </w:pPr>
      <w:r>
        <w:rPr>
          <w:rFonts w:ascii="Verdana" w:hAnsi="Verdana"/>
          <w:sz w:val="20"/>
          <w:szCs w:val="20"/>
        </w:rPr>
        <w:lastRenderedPageBreak/>
        <w:t>Une activité industrielle dans l’économie de l’hydrogène</w:t>
      </w:r>
      <w:r w:rsidR="00052997">
        <w:rPr>
          <w:rFonts w:ascii="Verdana" w:hAnsi="Verdana"/>
          <w:sz w:val="20"/>
          <w:szCs w:val="20"/>
        </w:rPr>
        <w:t xml:space="preserve"> et/ou des gaz verts et renouvelables</w:t>
      </w:r>
      <w:r>
        <w:rPr>
          <w:rFonts w:ascii="Verdana" w:hAnsi="Verdana"/>
          <w:sz w:val="20"/>
          <w:szCs w:val="20"/>
        </w:rPr>
        <w:t>.</w:t>
      </w:r>
    </w:p>
    <w:p w:rsidR="00027367" w:rsidRDefault="00027367" w:rsidP="00027367">
      <w:pPr>
        <w:spacing w:after="240"/>
        <w:jc w:val="both"/>
        <w:rPr>
          <w:rFonts w:ascii="Verdana" w:hAnsi="Verdana"/>
          <w:sz w:val="20"/>
          <w:szCs w:val="20"/>
        </w:rPr>
      </w:pPr>
      <w:r>
        <w:rPr>
          <w:rFonts w:ascii="Verdana" w:hAnsi="Verdana"/>
          <w:sz w:val="20"/>
          <w:szCs w:val="20"/>
        </w:rPr>
        <w:t>Le consortium doit pouvoir couvrir tous les aspects du paragraphe suivant et plus particulièrement le point 2.</w:t>
      </w:r>
    </w:p>
    <w:p w:rsidR="00027367" w:rsidRPr="00027367" w:rsidRDefault="00027367" w:rsidP="00027367">
      <w:pPr>
        <w:spacing w:after="240"/>
        <w:jc w:val="both"/>
        <w:rPr>
          <w:rFonts w:ascii="Verdana" w:hAnsi="Verdana"/>
          <w:sz w:val="20"/>
          <w:szCs w:val="20"/>
        </w:rPr>
      </w:pPr>
      <w:r>
        <w:rPr>
          <w:rFonts w:ascii="Verdana" w:hAnsi="Verdana"/>
          <w:sz w:val="20"/>
          <w:szCs w:val="20"/>
        </w:rPr>
        <w:t xml:space="preserve">Le promoteur du projet est le point de contact unique du consortium. </w:t>
      </w:r>
    </w:p>
    <w:p w:rsidR="00DE3C66" w:rsidRDefault="00DE3C66" w:rsidP="00DE3C66">
      <w:pPr>
        <w:spacing w:after="240"/>
        <w:jc w:val="both"/>
        <w:rPr>
          <w:rFonts w:ascii="Verdana" w:hAnsi="Verdana"/>
          <w:b/>
          <w:sz w:val="20"/>
          <w:szCs w:val="20"/>
          <w:u w:val="single"/>
        </w:rPr>
      </w:pPr>
      <w:r>
        <w:rPr>
          <w:rFonts w:ascii="Verdana" w:hAnsi="Verdana"/>
          <w:b/>
          <w:sz w:val="20"/>
          <w:szCs w:val="20"/>
          <w:u w:val="single"/>
        </w:rPr>
        <w:t>Contenu des projets</w:t>
      </w:r>
    </w:p>
    <w:p w:rsidR="00DE3C66" w:rsidRDefault="00EB3E02" w:rsidP="00DE3C66">
      <w:pPr>
        <w:spacing w:after="240"/>
        <w:jc w:val="both"/>
        <w:rPr>
          <w:rFonts w:ascii="Verdana" w:hAnsi="Verdana"/>
          <w:sz w:val="20"/>
          <w:szCs w:val="20"/>
        </w:rPr>
      </w:pPr>
      <w:r>
        <w:rPr>
          <w:rFonts w:ascii="Verdana" w:hAnsi="Verdana"/>
          <w:sz w:val="20"/>
          <w:szCs w:val="20"/>
        </w:rPr>
        <w:t xml:space="preserve">Les </w:t>
      </w:r>
      <w:r w:rsidR="006D70D6">
        <w:rPr>
          <w:rFonts w:ascii="Verdana" w:hAnsi="Verdana"/>
          <w:sz w:val="20"/>
          <w:szCs w:val="20"/>
        </w:rPr>
        <w:t xml:space="preserve">deux </w:t>
      </w:r>
      <w:r>
        <w:rPr>
          <w:rFonts w:ascii="Verdana" w:hAnsi="Verdana"/>
          <w:sz w:val="20"/>
          <w:szCs w:val="20"/>
        </w:rPr>
        <w:t xml:space="preserve">projets </w:t>
      </w:r>
      <w:r w:rsidR="00730F42">
        <w:rPr>
          <w:rFonts w:ascii="Verdana" w:hAnsi="Verdana"/>
          <w:sz w:val="20"/>
          <w:szCs w:val="20"/>
        </w:rPr>
        <w:t xml:space="preserve">sélectionnés </w:t>
      </w:r>
      <w:r>
        <w:rPr>
          <w:rFonts w:ascii="Verdana" w:hAnsi="Verdana"/>
          <w:sz w:val="20"/>
          <w:szCs w:val="20"/>
        </w:rPr>
        <w:t>devront présenter les divers éléments :</w:t>
      </w:r>
    </w:p>
    <w:p w:rsidR="00EB3E02" w:rsidRPr="00AF3538" w:rsidRDefault="00EB3E02" w:rsidP="00EB3E02">
      <w:pPr>
        <w:pStyle w:val="Paragraphedeliste"/>
        <w:numPr>
          <w:ilvl w:val="0"/>
          <w:numId w:val="12"/>
        </w:numPr>
        <w:spacing w:after="240"/>
        <w:jc w:val="both"/>
        <w:rPr>
          <w:rFonts w:ascii="Verdana" w:hAnsi="Verdana"/>
          <w:b/>
          <w:i/>
          <w:sz w:val="20"/>
          <w:szCs w:val="20"/>
        </w:rPr>
      </w:pPr>
      <w:r w:rsidRPr="00AF3538">
        <w:rPr>
          <w:rFonts w:ascii="Verdana" w:hAnsi="Verdana"/>
          <w:b/>
          <w:i/>
          <w:sz w:val="20"/>
          <w:szCs w:val="20"/>
        </w:rPr>
        <w:t>Zone géographique.</w:t>
      </w:r>
    </w:p>
    <w:p w:rsidR="00EB3E02" w:rsidRDefault="00EB3E02" w:rsidP="00EB3E02">
      <w:pPr>
        <w:spacing w:after="240"/>
        <w:jc w:val="both"/>
        <w:rPr>
          <w:rFonts w:ascii="Verdana" w:hAnsi="Verdana"/>
          <w:sz w:val="20"/>
          <w:szCs w:val="20"/>
        </w:rPr>
      </w:pPr>
      <w:r>
        <w:rPr>
          <w:rFonts w:ascii="Verdana" w:hAnsi="Verdana"/>
          <w:sz w:val="20"/>
          <w:szCs w:val="20"/>
        </w:rPr>
        <w:t xml:space="preserve">Les </w:t>
      </w:r>
      <w:r w:rsidR="006D70D6">
        <w:rPr>
          <w:rFonts w:ascii="Verdana" w:hAnsi="Verdana"/>
          <w:sz w:val="20"/>
          <w:szCs w:val="20"/>
        </w:rPr>
        <w:t xml:space="preserve">deux </w:t>
      </w:r>
      <w:r>
        <w:rPr>
          <w:rFonts w:ascii="Verdana" w:hAnsi="Verdana"/>
          <w:sz w:val="20"/>
          <w:szCs w:val="20"/>
        </w:rPr>
        <w:t xml:space="preserve">projets devront être déployés dans un </w:t>
      </w:r>
      <w:r w:rsidR="006D70D6">
        <w:rPr>
          <w:rFonts w:ascii="Verdana" w:hAnsi="Verdana"/>
          <w:sz w:val="20"/>
          <w:szCs w:val="20"/>
        </w:rPr>
        <w:t>l</w:t>
      </w:r>
      <w:r>
        <w:rPr>
          <w:rFonts w:ascii="Verdana" w:hAnsi="Verdana"/>
          <w:sz w:val="20"/>
          <w:szCs w:val="20"/>
        </w:rPr>
        <w:t>es deux Pôles majeurs wallons</w:t>
      </w:r>
      <w:r w:rsidR="00644AB6">
        <w:rPr>
          <w:rFonts w:ascii="Verdana" w:hAnsi="Verdana"/>
          <w:sz w:val="20"/>
          <w:szCs w:val="20"/>
        </w:rPr>
        <w:t xml:space="preserve"> tels que définis dans le SDT</w:t>
      </w:r>
      <w:r>
        <w:rPr>
          <w:rFonts w:ascii="Verdana" w:hAnsi="Verdana"/>
          <w:sz w:val="20"/>
          <w:szCs w:val="20"/>
        </w:rPr>
        <w:t xml:space="preserve"> </w:t>
      </w:r>
      <w:r w:rsidR="004968C4">
        <w:rPr>
          <w:rFonts w:ascii="Verdana" w:hAnsi="Verdana"/>
          <w:sz w:val="20"/>
          <w:szCs w:val="20"/>
        </w:rPr>
        <w:t xml:space="preserve">à savoir </w:t>
      </w:r>
      <w:r>
        <w:rPr>
          <w:rFonts w:ascii="Verdana" w:hAnsi="Verdana"/>
          <w:sz w:val="20"/>
          <w:szCs w:val="20"/>
        </w:rPr>
        <w:t xml:space="preserve">Charleroi </w:t>
      </w:r>
      <w:r w:rsidR="006D70D6">
        <w:rPr>
          <w:rFonts w:ascii="Verdana" w:hAnsi="Verdana"/>
          <w:sz w:val="20"/>
          <w:szCs w:val="20"/>
        </w:rPr>
        <w:t xml:space="preserve">et </w:t>
      </w:r>
      <w:r>
        <w:rPr>
          <w:rFonts w:ascii="Verdana" w:hAnsi="Verdana"/>
          <w:sz w:val="20"/>
          <w:szCs w:val="20"/>
        </w:rPr>
        <w:t>Liège. De par leur positionnement géographique à la croisée d’axes de communication structurants</w:t>
      </w:r>
      <w:r w:rsidR="00A460A8">
        <w:rPr>
          <w:rFonts w:ascii="Verdana" w:hAnsi="Verdana"/>
          <w:sz w:val="20"/>
          <w:szCs w:val="20"/>
        </w:rPr>
        <w:t>, les bassins de population qu’ils drainent</w:t>
      </w:r>
      <w:r>
        <w:rPr>
          <w:rFonts w:ascii="Verdana" w:hAnsi="Verdana"/>
          <w:sz w:val="20"/>
          <w:szCs w:val="20"/>
        </w:rPr>
        <w:t xml:space="preserve"> et l</w:t>
      </w:r>
      <w:r w:rsidR="00644AB6">
        <w:rPr>
          <w:rFonts w:ascii="Verdana" w:hAnsi="Verdana"/>
          <w:sz w:val="20"/>
          <w:szCs w:val="20"/>
        </w:rPr>
        <w:t>e tissu</w:t>
      </w:r>
      <w:r>
        <w:rPr>
          <w:rFonts w:ascii="Verdana" w:hAnsi="Verdana"/>
          <w:sz w:val="20"/>
          <w:szCs w:val="20"/>
        </w:rPr>
        <w:t xml:space="preserve"> économique </w:t>
      </w:r>
      <w:r w:rsidR="00644AB6">
        <w:rPr>
          <w:rFonts w:ascii="Verdana" w:hAnsi="Verdana"/>
          <w:sz w:val="20"/>
          <w:szCs w:val="20"/>
        </w:rPr>
        <w:t>qui y existent</w:t>
      </w:r>
      <w:r>
        <w:rPr>
          <w:rFonts w:ascii="Verdana" w:hAnsi="Verdana"/>
          <w:sz w:val="20"/>
          <w:szCs w:val="20"/>
        </w:rPr>
        <w:t xml:space="preserve">, ces Pôles </w:t>
      </w:r>
      <w:r w:rsidR="00A460A8">
        <w:rPr>
          <w:rFonts w:ascii="Verdana" w:hAnsi="Verdana"/>
          <w:sz w:val="20"/>
          <w:szCs w:val="20"/>
        </w:rPr>
        <w:t>sont à même d’offrir des possibilités de valorisation des projets à déployer.</w:t>
      </w:r>
    </w:p>
    <w:p w:rsidR="00644AB6" w:rsidRDefault="00644AB6" w:rsidP="00EB3E02">
      <w:pPr>
        <w:spacing w:after="240"/>
        <w:jc w:val="both"/>
        <w:rPr>
          <w:rFonts w:ascii="Verdana" w:hAnsi="Verdana"/>
          <w:sz w:val="20"/>
          <w:szCs w:val="20"/>
        </w:rPr>
      </w:pPr>
      <w:r>
        <w:rPr>
          <w:rFonts w:ascii="Verdana" w:hAnsi="Verdana"/>
          <w:sz w:val="20"/>
          <w:szCs w:val="20"/>
        </w:rPr>
        <w:t>Pour rappel, ces deux bassins géographiques rep</w:t>
      </w:r>
      <w:r w:rsidR="00595C1C">
        <w:rPr>
          <w:rFonts w:ascii="Verdana" w:hAnsi="Verdana"/>
          <w:sz w:val="20"/>
          <w:szCs w:val="20"/>
        </w:rPr>
        <w:t xml:space="preserve">résentent les deux aires métropolitaines les plus importantes de Wallonie avec respectivement 500.000 habitants pour Charleroi et 750.000 pour Liège. Charleroi se positionne sur un axe routier structurant du Réseau </w:t>
      </w:r>
      <w:proofErr w:type="spellStart"/>
      <w:r w:rsidR="00595C1C">
        <w:rPr>
          <w:rFonts w:ascii="Verdana" w:hAnsi="Verdana"/>
          <w:sz w:val="20"/>
          <w:szCs w:val="20"/>
        </w:rPr>
        <w:t>trans-européen</w:t>
      </w:r>
      <w:proofErr w:type="spellEnd"/>
      <w:r w:rsidR="00595C1C">
        <w:rPr>
          <w:rFonts w:ascii="Verdana" w:hAnsi="Verdana"/>
          <w:sz w:val="20"/>
          <w:szCs w:val="20"/>
        </w:rPr>
        <w:t xml:space="preserve"> de Transport, dispose de deux pôles logistiques importants et d’un aéroport</w:t>
      </w:r>
      <w:r w:rsidR="00520EA1" w:rsidRPr="00520EA1">
        <w:rPr>
          <w:rFonts w:ascii="Verdana" w:hAnsi="Verdana"/>
          <w:sz w:val="20"/>
          <w:szCs w:val="20"/>
        </w:rPr>
        <w:t xml:space="preserve"> </w:t>
      </w:r>
      <w:r w:rsidR="00520EA1">
        <w:rPr>
          <w:rFonts w:ascii="Verdana" w:hAnsi="Verdana"/>
          <w:sz w:val="20"/>
          <w:szCs w:val="20"/>
        </w:rPr>
        <w:t>essentiellement de passagers</w:t>
      </w:r>
      <w:r w:rsidR="00595C1C">
        <w:rPr>
          <w:rFonts w:ascii="Verdana" w:hAnsi="Verdana"/>
          <w:sz w:val="20"/>
          <w:szCs w:val="20"/>
        </w:rPr>
        <w:t xml:space="preserve">. Liège se situe également sur un axe routier structurant du Réseau </w:t>
      </w:r>
      <w:proofErr w:type="spellStart"/>
      <w:r w:rsidR="00595C1C">
        <w:rPr>
          <w:rFonts w:ascii="Verdana" w:hAnsi="Verdana"/>
          <w:sz w:val="20"/>
          <w:szCs w:val="20"/>
        </w:rPr>
        <w:t>trans-européen</w:t>
      </w:r>
      <w:proofErr w:type="spellEnd"/>
      <w:r w:rsidR="00595C1C">
        <w:rPr>
          <w:rFonts w:ascii="Verdana" w:hAnsi="Verdana"/>
          <w:sz w:val="20"/>
          <w:szCs w:val="20"/>
        </w:rPr>
        <w:t xml:space="preserve"> de Transport, dispose de trois pôles logistiques majeurs et d’un aéroport </w:t>
      </w:r>
      <w:r w:rsidR="00520EA1">
        <w:rPr>
          <w:rFonts w:ascii="Verdana" w:hAnsi="Verdana"/>
          <w:sz w:val="20"/>
          <w:szCs w:val="20"/>
        </w:rPr>
        <w:t xml:space="preserve">essentiellement </w:t>
      </w:r>
      <w:r w:rsidR="00595C1C">
        <w:rPr>
          <w:rFonts w:ascii="Verdana" w:hAnsi="Verdana"/>
          <w:sz w:val="20"/>
          <w:szCs w:val="20"/>
        </w:rPr>
        <w:t xml:space="preserve">de fret (le </w:t>
      </w:r>
      <w:r w:rsidR="008C4FBE">
        <w:rPr>
          <w:rFonts w:ascii="Verdana" w:hAnsi="Verdana"/>
          <w:sz w:val="20"/>
          <w:szCs w:val="20"/>
        </w:rPr>
        <w:t>7</w:t>
      </w:r>
      <w:r w:rsidR="00595C1C" w:rsidRPr="00595C1C">
        <w:rPr>
          <w:rFonts w:ascii="Verdana" w:hAnsi="Verdana"/>
          <w:sz w:val="20"/>
          <w:szCs w:val="20"/>
          <w:vertAlign w:val="superscript"/>
        </w:rPr>
        <w:t>e</w:t>
      </w:r>
      <w:r w:rsidR="00595C1C">
        <w:rPr>
          <w:rFonts w:ascii="Verdana" w:hAnsi="Verdana"/>
          <w:sz w:val="20"/>
          <w:szCs w:val="20"/>
        </w:rPr>
        <w:t xml:space="preserve"> européen en ordre d’importance).</w:t>
      </w:r>
      <w:r w:rsidR="004968C4">
        <w:rPr>
          <w:rFonts w:ascii="Verdana" w:hAnsi="Verdana"/>
          <w:sz w:val="20"/>
          <w:szCs w:val="20"/>
        </w:rPr>
        <w:t xml:space="preserve"> </w:t>
      </w:r>
      <w:r w:rsidR="004968C4" w:rsidRPr="00035CEA">
        <w:rPr>
          <w:rFonts w:ascii="Verdana" w:hAnsi="Verdana"/>
          <w:sz w:val="20"/>
          <w:szCs w:val="20"/>
        </w:rPr>
        <w:t xml:space="preserve">Le projet de Liège sera situé  </w:t>
      </w:r>
      <w:r w:rsidR="00520EA1" w:rsidRPr="00035CEA">
        <w:rPr>
          <w:rFonts w:ascii="Verdana" w:hAnsi="Verdana"/>
          <w:sz w:val="20"/>
          <w:szCs w:val="20"/>
        </w:rPr>
        <w:t xml:space="preserve">sur le site de </w:t>
      </w:r>
      <w:r w:rsidR="004968C4" w:rsidRPr="00035CEA">
        <w:rPr>
          <w:rFonts w:ascii="Verdana" w:hAnsi="Verdana"/>
          <w:sz w:val="20"/>
          <w:szCs w:val="20"/>
        </w:rPr>
        <w:t>l’Aéroport.</w:t>
      </w:r>
    </w:p>
    <w:p w:rsidR="006D70D6" w:rsidRDefault="006D70D6" w:rsidP="00EB3E02">
      <w:pPr>
        <w:spacing w:after="240"/>
        <w:jc w:val="both"/>
        <w:rPr>
          <w:rFonts w:ascii="Verdana" w:hAnsi="Verdana"/>
          <w:sz w:val="20"/>
          <w:szCs w:val="20"/>
        </w:rPr>
      </w:pPr>
    </w:p>
    <w:p w:rsidR="00A460A8" w:rsidRPr="00AF3538" w:rsidRDefault="00A460A8" w:rsidP="00A460A8">
      <w:pPr>
        <w:pStyle w:val="Paragraphedeliste"/>
        <w:numPr>
          <w:ilvl w:val="0"/>
          <w:numId w:val="12"/>
        </w:numPr>
        <w:spacing w:after="240"/>
        <w:jc w:val="both"/>
        <w:rPr>
          <w:rFonts w:ascii="Verdana" w:hAnsi="Verdana"/>
          <w:b/>
          <w:i/>
          <w:sz w:val="20"/>
          <w:szCs w:val="20"/>
        </w:rPr>
      </w:pPr>
      <w:r w:rsidRPr="00AF3538">
        <w:rPr>
          <w:rFonts w:ascii="Verdana" w:hAnsi="Verdana"/>
          <w:b/>
          <w:i/>
          <w:sz w:val="20"/>
          <w:szCs w:val="20"/>
        </w:rPr>
        <w:t>Applications</w:t>
      </w:r>
      <w:r w:rsidR="008C6165" w:rsidRPr="00AF3538">
        <w:rPr>
          <w:rFonts w:ascii="Verdana" w:hAnsi="Verdana"/>
          <w:b/>
          <w:i/>
          <w:sz w:val="20"/>
          <w:szCs w:val="20"/>
        </w:rPr>
        <w:t>.</w:t>
      </w:r>
    </w:p>
    <w:p w:rsidR="006D70D6" w:rsidRDefault="008C6165" w:rsidP="00A460A8">
      <w:pPr>
        <w:spacing w:after="240"/>
        <w:jc w:val="both"/>
        <w:rPr>
          <w:rFonts w:ascii="Verdana" w:hAnsi="Verdana"/>
          <w:sz w:val="20"/>
          <w:szCs w:val="20"/>
        </w:rPr>
      </w:pPr>
      <w:r>
        <w:rPr>
          <w:rFonts w:ascii="Verdana" w:hAnsi="Verdana"/>
          <w:sz w:val="20"/>
          <w:szCs w:val="20"/>
        </w:rPr>
        <w:t>Les applications à envisager dans le projet portent essentiellement sur un verd</w:t>
      </w:r>
      <w:r w:rsidR="006D70D6">
        <w:rPr>
          <w:rFonts w:ascii="Verdana" w:hAnsi="Verdana"/>
          <w:sz w:val="20"/>
          <w:szCs w:val="20"/>
        </w:rPr>
        <w:t>issement</w:t>
      </w:r>
      <w:r>
        <w:rPr>
          <w:rFonts w:ascii="Verdana" w:hAnsi="Verdana"/>
          <w:sz w:val="20"/>
          <w:szCs w:val="20"/>
        </w:rPr>
        <w:t xml:space="preserve"> du transport de personnes </w:t>
      </w:r>
      <w:r w:rsidR="006D70D6">
        <w:rPr>
          <w:rFonts w:ascii="Verdana" w:hAnsi="Verdana"/>
          <w:sz w:val="20"/>
          <w:szCs w:val="20"/>
        </w:rPr>
        <w:t>et/</w:t>
      </w:r>
      <w:r>
        <w:rPr>
          <w:rFonts w:ascii="Verdana" w:hAnsi="Verdana"/>
          <w:sz w:val="20"/>
          <w:szCs w:val="20"/>
        </w:rPr>
        <w:t>ou de marchandises</w:t>
      </w:r>
      <w:r w:rsidR="00210CCC">
        <w:rPr>
          <w:rFonts w:ascii="Verdana" w:hAnsi="Verdana"/>
          <w:sz w:val="20"/>
          <w:szCs w:val="20"/>
        </w:rPr>
        <w:t>. Ces deux types d’application ont déjà prouvé la fiabilité des solutions existantes au travers de projets de démonstration et l’offre commerciale suffisante commence à apparaître sur le marché.</w:t>
      </w:r>
    </w:p>
    <w:p w:rsidR="006D70D6" w:rsidRDefault="006D70D6" w:rsidP="00A460A8">
      <w:pPr>
        <w:spacing w:after="240"/>
        <w:jc w:val="both"/>
        <w:rPr>
          <w:rFonts w:ascii="Verdana" w:hAnsi="Verdana"/>
          <w:sz w:val="20"/>
          <w:szCs w:val="20"/>
        </w:rPr>
      </w:pPr>
      <w:r>
        <w:rPr>
          <w:rFonts w:ascii="Verdana" w:hAnsi="Verdana"/>
          <w:sz w:val="20"/>
          <w:szCs w:val="20"/>
        </w:rPr>
        <w:t>Les deux projets viseront des flottes captives de bus et/ou de cars.</w:t>
      </w:r>
    </w:p>
    <w:p w:rsidR="00A460A8" w:rsidRDefault="006D70D6" w:rsidP="00A460A8">
      <w:pPr>
        <w:spacing w:after="240"/>
        <w:jc w:val="both"/>
        <w:rPr>
          <w:rFonts w:ascii="Verdana" w:hAnsi="Verdana"/>
          <w:sz w:val="20"/>
          <w:szCs w:val="20"/>
        </w:rPr>
      </w:pPr>
      <w:r>
        <w:rPr>
          <w:rFonts w:ascii="Verdana" w:hAnsi="Verdana"/>
          <w:sz w:val="20"/>
          <w:szCs w:val="20"/>
        </w:rPr>
        <w:t>D</w:t>
      </w:r>
      <w:r w:rsidR="00210CCC">
        <w:rPr>
          <w:rFonts w:ascii="Verdana" w:hAnsi="Verdana"/>
          <w:sz w:val="20"/>
          <w:szCs w:val="20"/>
        </w:rPr>
        <w:t xml:space="preserve">ivers </w:t>
      </w:r>
      <w:r>
        <w:rPr>
          <w:rFonts w:ascii="Verdana" w:hAnsi="Verdana"/>
          <w:sz w:val="20"/>
          <w:szCs w:val="20"/>
        </w:rPr>
        <w:t xml:space="preserve">autres </w:t>
      </w:r>
      <w:r w:rsidR="00210CCC">
        <w:rPr>
          <w:rFonts w:ascii="Verdana" w:hAnsi="Verdana"/>
          <w:sz w:val="20"/>
          <w:szCs w:val="20"/>
        </w:rPr>
        <w:t xml:space="preserve">types de véhicules </w:t>
      </w:r>
      <w:r>
        <w:rPr>
          <w:rFonts w:ascii="Verdana" w:hAnsi="Verdana"/>
          <w:sz w:val="20"/>
          <w:szCs w:val="20"/>
        </w:rPr>
        <w:t>seront également</w:t>
      </w:r>
      <w:r w:rsidR="00210CCC">
        <w:rPr>
          <w:rFonts w:ascii="Verdana" w:hAnsi="Verdana"/>
          <w:sz w:val="20"/>
          <w:szCs w:val="20"/>
        </w:rPr>
        <w:t xml:space="preserve"> envisagés :</w:t>
      </w:r>
    </w:p>
    <w:p w:rsidR="00210CCC" w:rsidRDefault="002E285A" w:rsidP="00210CCC">
      <w:pPr>
        <w:pStyle w:val="Paragraphedeliste"/>
        <w:numPr>
          <w:ilvl w:val="0"/>
          <w:numId w:val="13"/>
        </w:numPr>
        <w:spacing w:after="240"/>
        <w:jc w:val="both"/>
        <w:rPr>
          <w:rFonts w:ascii="Verdana" w:hAnsi="Verdana"/>
          <w:sz w:val="20"/>
          <w:szCs w:val="20"/>
        </w:rPr>
      </w:pPr>
      <w:r>
        <w:rPr>
          <w:rFonts w:ascii="Verdana" w:hAnsi="Verdana"/>
          <w:sz w:val="20"/>
          <w:szCs w:val="20"/>
        </w:rPr>
        <w:t>Taxis ou véhicules en partage ;</w:t>
      </w:r>
    </w:p>
    <w:p w:rsidR="002E285A" w:rsidRDefault="002E285A" w:rsidP="00210CCC">
      <w:pPr>
        <w:pStyle w:val="Paragraphedeliste"/>
        <w:numPr>
          <w:ilvl w:val="0"/>
          <w:numId w:val="13"/>
        </w:numPr>
        <w:spacing w:after="240"/>
        <w:jc w:val="both"/>
        <w:rPr>
          <w:rFonts w:ascii="Verdana" w:hAnsi="Verdana"/>
          <w:sz w:val="20"/>
          <w:szCs w:val="20"/>
        </w:rPr>
      </w:pPr>
      <w:r>
        <w:rPr>
          <w:rFonts w:ascii="Verdana" w:hAnsi="Verdana"/>
          <w:sz w:val="20"/>
          <w:szCs w:val="20"/>
        </w:rPr>
        <w:t>Camionnettes ou camions ;</w:t>
      </w:r>
    </w:p>
    <w:p w:rsidR="002E285A" w:rsidRDefault="002E285A" w:rsidP="00210CCC">
      <w:pPr>
        <w:pStyle w:val="Paragraphedeliste"/>
        <w:numPr>
          <w:ilvl w:val="0"/>
          <w:numId w:val="13"/>
        </w:numPr>
        <w:spacing w:after="240"/>
        <w:jc w:val="both"/>
        <w:rPr>
          <w:rFonts w:ascii="Verdana" w:hAnsi="Verdana"/>
          <w:sz w:val="20"/>
          <w:szCs w:val="20"/>
        </w:rPr>
      </w:pPr>
      <w:r>
        <w:rPr>
          <w:rFonts w:ascii="Verdana" w:hAnsi="Verdana"/>
          <w:sz w:val="20"/>
          <w:szCs w:val="20"/>
        </w:rPr>
        <w:t>Véhicules non immatriculés ;</w:t>
      </w:r>
    </w:p>
    <w:p w:rsidR="002E285A" w:rsidRDefault="002E285A" w:rsidP="00210CCC">
      <w:pPr>
        <w:pStyle w:val="Paragraphedeliste"/>
        <w:numPr>
          <w:ilvl w:val="0"/>
          <w:numId w:val="13"/>
        </w:numPr>
        <w:spacing w:after="240"/>
        <w:jc w:val="both"/>
        <w:rPr>
          <w:rFonts w:ascii="Verdana" w:hAnsi="Verdana"/>
          <w:sz w:val="20"/>
          <w:szCs w:val="20"/>
        </w:rPr>
      </w:pPr>
      <w:r>
        <w:rPr>
          <w:rFonts w:ascii="Verdana" w:hAnsi="Verdana"/>
          <w:sz w:val="20"/>
          <w:szCs w:val="20"/>
        </w:rPr>
        <w:t>Autres applications mobiles (à définir</w:t>
      </w:r>
      <w:r w:rsidR="00595C1C">
        <w:rPr>
          <w:rFonts w:ascii="Verdana" w:hAnsi="Verdana"/>
          <w:sz w:val="20"/>
          <w:szCs w:val="20"/>
        </w:rPr>
        <w:t xml:space="preserve"> par le proposant</w:t>
      </w:r>
      <w:r>
        <w:rPr>
          <w:rFonts w:ascii="Verdana" w:hAnsi="Verdana"/>
          <w:sz w:val="20"/>
          <w:szCs w:val="20"/>
        </w:rPr>
        <w:t>).</w:t>
      </w:r>
    </w:p>
    <w:p w:rsidR="00152BEA" w:rsidRPr="00152BEA" w:rsidRDefault="00152BEA" w:rsidP="00152BEA">
      <w:pPr>
        <w:spacing w:after="240"/>
        <w:jc w:val="both"/>
        <w:rPr>
          <w:rFonts w:ascii="Verdana" w:hAnsi="Verdana"/>
          <w:sz w:val="20"/>
          <w:szCs w:val="20"/>
        </w:rPr>
      </w:pPr>
      <w:r>
        <w:rPr>
          <w:rFonts w:ascii="Verdana" w:hAnsi="Verdana"/>
          <w:sz w:val="20"/>
          <w:szCs w:val="20"/>
        </w:rPr>
        <w:t>Ces applications doivent directement être rattachées au projet (flottes captives).</w:t>
      </w:r>
    </w:p>
    <w:p w:rsidR="002E285A" w:rsidRPr="00AF3538" w:rsidRDefault="00F47CF3" w:rsidP="00F47CF3">
      <w:pPr>
        <w:pStyle w:val="Paragraphedeliste"/>
        <w:numPr>
          <w:ilvl w:val="0"/>
          <w:numId w:val="12"/>
        </w:numPr>
        <w:spacing w:after="240"/>
        <w:jc w:val="both"/>
        <w:rPr>
          <w:rFonts w:ascii="Verdana" w:hAnsi="Verdana"/>
          <w:b/>
          <w:i/>
          <w:sz w:val="20"/>
          <w:szCs w:val="20"/>
        </w:rPr>
      </w:pPr>
      <w:r w:rsidRPr="00AF3538">
        <w:rPr>
          <w:rFonts w:ascii="Verdana" w:hAnsi="Verdana"/>
          <w:b/>
          <w:i/>
          <w:sz w:val="20"/>
          <w:szCs w:val="20"/>
        </w:rPr>
        <w:t>Unité de production d’hydrogène</w:t>
      </w:r>
      <w:r w:rsidR="00AF3538" w:rsidRPr="00AF3538">
        <w:rPr>
          <w:rFonts w:ascii="Verdana" w:hAnsi="Verdana"/>
          <w:b/>
          <w:i/>
          <w:sz w:val="20"/>
          <w:szCs w:val="20"/>
        </w:rPr>
        <w:t>.</w:t>
      </w:r>
    </w:p>
    <w:p w:rsidR="00F47CF3" w:rsidRDefault="00F47CF3" w:rsidP="00F47CF3">
      <w:pPr>
        <w:spacing w:after="240"/>
        <w:jc w:val="both"/>
        <w:rPr>
          <w:rFonts w:ascii="Verdana" w:hAnsi="Verdana"/>
          <w:sz w:val="20"/>
          <w:szCs w:val="20"/>
        </w:rPr>
      </w:pPr>
      <w:r>
        <w:rPr>
          <w:rFonts w:ascii="Verdana" w:hAnsi="Verdana"/>
          <w:sz w:val="20"/>
          <w:szCs w:val="20"/>
        </w:rPr>
        <w:t>L’hydrogène devra exclusivement être produit par électrolyse d’eau</w:t>
      </w:r>
      <w:r w:rsidR="00AF3538">
        <w:rPr>
          <w:rFonts w:ascii="Verdana" w:hAnsi="Verdana"/>
          <w:sz w:val="20"/>
          <w:szCs w:val="20"/>
        </w:rPr>
        <w:t>. Aucune priorité technologique ne sera donnée pour l’électrolyseur. L’électricité devra être autant que possible d’origine renouvelable</w:t>
      </w:r>
      <w:r w:rsidR="000A6D38">
        <w:rPr>
          <w:rFonts w:ascii="Verdana" w:hAnsi="Verdana"/>
          <w:sz w:val="20"/>
          <w:szCs w:val="20"/>
        </w:rPr>
        <w:t xml:space="preserve"> ou décentralisée avec une utilité en terme de flexibilité</w:t>
      </w:r>
      <w:r w:rsidR="00AF3538">
        <w:rPr>
          <w:rFonts w:ascii="Verdana" w:hAnsi="Verdana"/>
          <w:sz w:val="20"/>
          <w:szCs w:val="20"/>
        </w:rPr>
        <w:t xml:space="preserve">. </w:t>
      </w:r>
      <w:r w:rsidR="00AF3538">
        <w:rPr>
          <w:rFonts w:ascii="Verdana" w:hAnsi="Verdana"/>
          <w:sz w:val="20"/>
          <w:szCs w:val="20"/>
        </w:rPr>
        <w:lastRenderedPageBreak/>
        <w:t xml:space="preserve">Les proposants devront fournir les </w:t>
      </w:r>
      <w:r w:rsidR="006D70D6">
        <w:rPr>
          <w:rFonts w:ascii="Verdana" w:hAnsi="Verdana"/>
          <w:sz w:val="20"/>
          <w:szCs w:val="20"/>
        </w:rPr>
        <w:t>informations attestant</w:t>
      </w:r>
      <w:r w:rsidR="00AF3538">
        <w:rPr>
          <w:rFonts w:ascii="Verdana" w:hAnsi="Verdana"/>
          <w:sz w:val="20"/>
          <w:szCs w:val="20"/>
        </w:rPr>
        <w:t xml:space="preserve"> l’origine de l’électricité </w:t>
      </w:r>
      <w:r w:rsidR="000548DE">
        <w:rPr>
          <w:rFonts w:ascii="Verdana" w:hAnsi="Verdana"/>
          <w:sz w:val="20"/>
          <w:szCs w:val="20"/>
        </w:rPr>
        <w:t xml:space="preserve">et de l’eau </w:t>
      </w:r>
      <w:r w:rsidR="00AF3538">
        <w:rPr>
          <w:rFonts w:ascii="Verdana" w:hAnsi="Verdana"/>
          <w:sz w:val="20"/>
          <w:szCs w:val="20"/>
        </w:rPr>
        <w:t>utilisée</w:t>
      </w:r>
      <w:r w:rsidR="000548DE">
        <w:rPr>
          <w:rFonts w:ascii="Verdana" w:hAnsi="Verdana"/>
          <w:sz w:val="20"/>
          <w:szCs w:val="20"/>
        </w:rPr>
        <w:t>s</w:t>
      </w:r>
      <w:r w:rsidR="00AF3538">
        <w:rPr>
          <w:rFonts w:ascii="Verdana" w:hAnsi="Verdana"/>
          <w:sz w:val="20"/>
          <w:szCs w:val="20"/>
        </w:rPr>
        <w:t xml:space="preserve"> aux fins de l’électrolyse en ce compris lorsque l’électrolyse se fait à partir du réseau.</w:t>
      </w:r>
    </w:p>
    <w:p w:rsidR="00AF3538" w:rsidRDefault="00AF3538" w:rsidP="00F47CF3">
      <w:pPr>
        <w:spacing w:after="240"/>
        <w:jc w:val="both"/>
        <w:rPr>
          <w:rFonts w:ascii="Verdana" w:hAnsi="Verdana"/>
          <w:sz w:val="20"/>
          <w:szCs w:val="20"/>
        </w:rPr>
      </w:pPr>
      <w:r>
        <w:rPr>
          <w:rFonts w:ascii="Verdana" w:hAnsi="Verdana"/>
          <w:sz w:val="20"/>
          <w:szCs w:val="20"/>
        </w:rPr>
        <w:t>L’unité de production comprendra également le compresseur et, éventuellement, le système de mise en réservoir de l’hydrogène compressé.</w:t>
      </w:r>
    </w:p>
    <w:p w:rsidR="00703C53" w:rsidRDefault="00703C53" w:rsidP="00F47CF3">
      <w:pPr>
        <w:spacing w:after="240"/>
        <w:jc w:val="both"/>
        <w:rPr>
          <w:rFonts w:ascii="Verdana" w:hAnsi="Verdana"/>
          <w:sz w:val="20"/>
          <w:szCs w:val="20"/>
        </w:rPr>
      </w:pPr>
      <w:r>
        <w:rPr>
          <w:rFonts w:ascii="Verdana" w:hAnsi="Verdana"/>
          <w:sz w:val="20"/>
          <w:szCs w:val="20"/>
        </w:rPr>
        <w:t>Le projet devra spécifier les données techniques de l’électrolyseur et plus spécifiquement sa puissance nominale exprimée en Kilowatts ou Mégawatts et sa capacité de production exprimée en normaux mètres-cubes heure (N</w:t>
      </w:r>
      <w:r w:rsidR="006D70D6">
        <w:rPr>
          <w:rFonts w:ascii="Verdana" w:hAnsi="Verdana"/>
          <w:sz w:val="20"/>
          <w:szCs w:val="20"/>
        </w:rPr>
        <w:t>m</w:t>
      </w:r>
      <w:r>
        <w:rPr>
          <w:rFonts w:ascii="Verdana" w:hAnsi="Verdana"/>
          <w:sz w:val="20"/>
          <w:szCs w:val="20"/>
        </w:rPr>
        <w:t>³/h).</w:t>
      </w:r>
    </w:p>
    <w:p w:rsidR="00AF3538" w:rsidRPr="00AF3538" w:rsidRDefault="00AF3538" w:rsidP="00AF3538">
      <w:pPr>
        <w:pStyle w:val="Paragraphedeliste"/>
        <w:numPr>
          <w:ilvl w:val="0"/>
          <w:numId w:val="12"/>
        </w:numPr>
        <w:spacing w:after="240"/>
        <w:jc w:val="both"/>
        <w:rPr>
          <w:rFonts w:ascii="Verdana" w:hAnsi="Verdana"/>
          <w:b/>
          <w:i/>
          <w:sz w:val="20"/>
          <w:szCs w:val="20"/>
        </w:rPr>
      </w:pPr>
      <w:r w:rsidRPr="00AF3538">
        <w:rPr>
          <w:rFonts w:ascii="Verdana" w:hAnsi="Verdana"/>
          <w:b/>
          <w:i/>
          <w:sz w:val="20"/>
          <w:szCs w:val="20"/>
        </w:rPr>
        <w:t xml:space="preserve">Unité de </w:t>
      </w:r>
      <w:r>
        <w:rPr>
          <w:rFonts w:ascii="Verdana" w:hAnsi="Verdana"/>
          <w:b/>
          <w:i/>
          <w:sz w:val="20"/>
          <w:szCs w:val="20"/>
        </w:rPr>
        <w:t>distribution</w:t>
      </w:r>
      <w:r w:rsidRPr="00AF3538">
        <w:rPr>
          <w:rFonts w:ascii="Verdana" w:hAnsi="Verdana"/>
          <w:b/>
          <w:i/>
          <w:sz w:val="20"/>
          <w:szCs w:val="20"/>
        </w:rPr>
        <w:t xml:space="preserve"> d’hydrogène.</w:t>
      </w:r>
    </w:p>
    <w:p w:rsidR="00AF3538" w:rsidRDefault="00AF3538" w:rsidP="00F47CF3">
      <w:pPr>
        <w:spacing w:after="240"/>
        <w:jc w:val="both"/>
        <w:rPr>
          <w:rFonts w:ascii="Verdana" w:hAnsi="Verdana"/>
          <w:sz w:val="20"/>
          <w:szCs w:val="20"/>
        </w:rPr>
      </w:pPr>
      <w:r>
        <w:rPr>
          <w:rFonts w:ascii="Verdana" w:hAnsi="Verdana"/>
          <w:sz w:val="20"/>
          <w:szCs w:val="20"/>
        </w:rPr>
        <w:t>L’unité de distribution d’hydrogène ne doit pas obligatoirement être couplée à l’unité de production. L’unité de distribution est composée éventuellement d’une chambre de détente permettant de dispenser l’hydrogène à la ou aux pressions requises pour les applications.</w:t>
      </w:r>
    </w:p>
    <w:p w:rsidR="00703C53" w:rsidRDefault="00703C53" w:rsidP="00703C53">
      <w:pPr>
        <w:spacing w:after="240"/>
        <w:jc w:val="both"/>
        <w:rPr>
          <w:rFonts w:ascii="Verdana" w:hAnsi="Verdana"/>
          <w:sz w:val="20"/>
          <w:szCs w:val="20"/>
        </w:rPr>
      </w:pPr>
      <w:r>
        <w:rPr>
          <w:rFonts w:ascii="Verdana" w:hAnsi="Verdana"/>
          <w:sz w:val="20"/>
          <w:szCs w:val="20"/>
        </w:rPr>
        <w:t xml:space="preserve">Au minimum </w:t>
      </w:r>
      <w:r w:rsidRPr="00152BEA">
        <w:rPr>
          <w:rFonts w:ascii="Verdana" w:hAnsi="Verdana"/>
          <w:b/>
          <w:sz w:val="20"/>
          <w:szCs w:val="20"/>
        </w:rPr>
        <w:t>80%</w:t>
      </w:r>
      <w:r>
        <w:rPr>
          <w:rFonts w:ascii="Verdana" w:hAnsi="Verdana"/>
          <w:sz w:val="20"/>
          <w:szCs w:val="20"/>
        </w:rPr>
        <w:t xml:space="preserve"> de l’hydrogène produit servira aux applications captives visées au point 2. Si de l’hydrogène produit est utilisé à d’autres fins, le projet devra les mentionner.</w:t>
      </w:r>
    </w:p>
    <w:p w:rsidR="00703C53" w:rsidRDefault="00703C53" w:rsidP="00703C53">
      <w:pPr>
        <w:spacing w:after="240"/>
        <w:jc w:val="both"/>
        <w:rPr>
          <w:rFonts w:ascii="Verdana" w:hAnsi="Verdana"/>
          <w:sz w:val="20"/>
          <w:szCs w:val="20"/>
        </w:rPr>
      </w:pPr>
      <w:r>
        <w:rPr>
          <w:rFonts w:ascii="Verdana" w:hAnsi="Verdana"/>
          <w:sz w:val="20"/>
          <w:szCs w:val="20"/>
        </w:rPr>
        <w:t>Le projet devra spécifier les données techniques de l’unité de distribution. Les embouts de connexion prévus dans le projet devront être compatibles aux prescriptions techniques de la Directive 2014/94/UE.</w:t>
      </w:r>
    </w:p>
    <w:p w:rsidR="00AF3538" w:rsidRDefault="00AF3538" w:rsidP="00AF3538">
      <w:pPr>
        <w:pStyle w:val="Paragraphedeliste"/>
        <w:numPr>
          <w:ilvl w:val="0"/>
          <w:numId w:val="12"/>
        </w:numPr>
        <w:spacing w:after="240"/>
        <w:jc w:val="both"/>
        <w:rPr>
          <w:rFonts w:ascii="Verdana" w:hAnsi="Verdana"/>
          <w:b/>
          <w:i/>
          <w:sz w:val="20"/>
          <w:szCs w:val="20"/>
        </w:rPr>
      </w:pPr>
      <w:r>
        <w:rPr>
          <w:rFonts w:ascii="Verdana" w:hAnsi="Verdana"/>
          <w:b/>
          <w:i/>
          <w:sz w:val="20"/>
          <w:szCs w:val="20"/>
        </w:rPr>
        <w:t>Logistique de l’hydrogène</w:t>
      </w:r>
      <w:r w:rsidR="009406E9">
        <w:rPr>
          <w:rFonts w:ascii="Verdana" w:hAnsi="Verdana"/>
          <w:b/>
          <w:i/>
          <w:sz w:val="20"/>
          <w:szCs w:val="20"/>
        </w:rPr>
        <w:t>.</w:t>
      </w:r>
    </w:p>
    <w:p w:rsidR="00AF3538" w:rsidRDefault="00AF3538" w:rsidP="00AF3538">
      <w:pPr>
        <w:spacing w:after="240"/>
        <w:jc w:val="both"/>
        <w:rPr>
          <w:rFonts w:ascii="Verdana" w:hAnsi="Verdana"/>
          <w:sz w:val="20"/>
          <w:szCs w:val="20"/>
        </w:rPr>
      </w:pPr>
      <w:r>
        <w:rPr>
          <w:rFonts w:ascii="Verdana" w:hAnsi="Verdana"/>
          <w:sz w:val="20"/>
          <w:szCs w:val="20"/>
        </w:rPr>
        <w:t xml:space="preserve">Lorsque l’hydrogène n’est pas directement utilisé à son site de production, le proposant doit détailler </w:t>
      </w:r>
      <w:r w:rsidR="009406E9">
        <w:rPr>
          <w:rFonts w:ascii="Verdana" w:hAnsi="Verdana"/>
          <w:sz w:val="20"/>
          <w:szCs w:val="20"/>
        </w:rPr>
        <w:t>la manière dont l’hydrogène est acheminé sur le site de distribution.</w:t>
      </w:r>
    </w:p>
    <w:p w:rsidR="009406E9" w:rsidRPr="009406E9" w:rsidRDefault="009406E9" w:rsidP="009406E9">
      <w:pPr>
        <w:pStyle w:val="Paragraphedeliste"/>
        <w:numPr>
          <w:ilvl w:val="0"/>
          <w:numId w:val="12"/>
        </w:numPr>
        <w:spacing w:after="240"/>
        <w:jc w:val="both"/>
        <w:rPr>
          <w:rFonts w:ascii="Verdana" w:hAnsi="Verdana"/>
          <w:b/>
          <w:i/>
          <w:sz w:val="20"/>
          <w:szCs w:val="20"/>
        </w:rPr>
      </w:pPr>
      <w:r w:rsidRPr="009406E9">
        <w:rPr>
          <w:rFonts w:ascii="Verdana" w:hAnsi="Verdana"/>
          <w:b/>
          <w:i/>
          <w:sz w:val="20"/>
          <w:szCs w:val="20"/>
        </w:rPr>
        <w:t xml:space="preserve">Bilan carbone de </w:t>
      </w:r>
      <w:r>
        <w:rPr>
          <w:rFonts w:ascii="Verdana" w:hAnsi="Verdana"/>
          <w:b/>
          <w:i/>
          <w:sz w:val="20"/>
          <w:szCs w:val="20"/>
        </w:rPr>
        <w:t>l’hydrogène.</w:t>
      </w:r>
    </w:p>
    <w:p w:rsidR="00D97695" w:rsidRDefault="00D97695" w:rsidP="00DE3C66">
      <w:pPr>
        <w:spacing w:after="240"/>
        <w:jc w:val="both"/>
        <w:rPr>
          <w:rFonts w:ascii="Verdana" w:hAnsi="Verdana"/>
          <w:sz w:val="20"/>
          <w:szCs w:val="20"/>
        </w:rPr>
      </w:pPr>
      <w:r>
        <w:rPr>
          <w:rFonts w:ascii="Verdana" w:hAnsi="Verdana"/>
          <w:sz w:val="20"/>
          <w:szCs w:val="20"/>
        </w:rPr>
        <w:t xml:space="preserve">Le projet devra démontrer l’empreinte carbone </w:t>
      </w:r>
      <w:r w:rsidR="0067793D">
        <w:rPr>
          <w:rFonts w:ascii="Verdana" w:hAnsi="Verdana"/>
          <w:sz w:val="20"/>
          <w:szCs w:val="20"/>
        </w:rPr>
        <w:t>de la production de l’hydrogène (typiquement du puits au réservoir). Cette empreinte sera calculée sur l’électricité nécessaire à l’électrolyse</w:t>
      </w:r>
      <w:r w:rsidR="007D7463">
        <w:rPr>
          <w:rFonts w:ascii="Verdana" w:hAnsi="Verdana"/>
          <w:sz w:val="20"/>
          <w:szCs w:val="20"/>
        </w:rPr>
        <w:t>, sur l’origine de l’eau</w:t>
      </w:r>
      <w:r w:rsidR="0067793D">
        <w:rPr>
          <w:rFonts w:ascii="Verdana" w:hAnsi="Verdana"/>
          <w:sz w:val="20"/>
          <w:szCs w:val="20"/>
        </w:rPr>
        <w:t xml:space="preserve"> ainsi que sur la logistique de distribution de l’hydrogène.</w:t>
      </w:r>
      <w:r w:rsidR="007A43E3">
        <w:rPr>
          <w:rFonts w:ascii="Verdana" w:hAnsi="Verdana"/>
          <w:sz w:val="20"/>
          <w:szCs w:val="20"/>
        </w:rPr>
        <w:t xml:space="preserve"> L’empreinte carbone sera ramenée au kilogramme d’hydrogène.</w:t>
      </w:r>
    </w:p>
    <w:p w:rsidR="007A43E3" w:rsidRDefault="007A43E3" w:rsidP="007A43E3">
      <w:pPr>
        <w:pStyle w:val="Paragraphedeliste"/>
        <w:numPr>
          <w:ilvl w:val="0"/>
          <w:numId w:val="13"/>
        </w:numPr>
        <w:spacing w:after="240"/>
        <w:jc w:val="both"/>
        <w:rPr>
          <w:rFonts w:ascii="Verdana" w:hAnsi="Verdana"/>
          <w:sz w:val="20"/>
          <w:szCs w:val="20"/>
        </w:rPr>
      </w:pPr>
      <w:r>
        <w:rPr>
          <w:rFonts w:ascii="Verdana" w:hAnsi="Verdana"/>
          <w:sz w:val="20"/>
          <w:szCs w:val="20"/>
        </w:rPr>
        <w:t>Electrolyse. En cas d’électrolyse directe à partir du réseau, les émissions équivalentes du mix énergétique seront établies à 169,6gCO2éq/kWh. Cette valeur peut être réévaluée en fonction des contrats de fourniture. En cas de couplage de l’électrolyseur avec une source de production d’électricité, le proposant doit pouvoir être en mesure de démontrer l’équivalence d’émission de l’unité de production d’électricité.</w:t>
      </w:r>
    </w:p>
    <w:p w:rsidR="007A43E3" w:rsidRDefault="007A43E3" w:rsidP="007A43E3">
      <w:pPr>
        <w:pStyle w:val="Paragraphedeliste"/>
        <w:spacing w:after="240"/>
        <w:ind w:left="720"/>
        <w:jc w:val="both"/>
        <w:rPr>
          <w:rFonts w:ascii="Verdana" w:hAnsi="Verdana"/>
          <w:sz w:val="20"/>
          <w:szCs w:val="20"/>
        </w:rPr>
      </w:pPr>
      <w:r>
        <w:rPr>
          <w:rFonts w:ascii="Verdana" w:hAnsi="Verdana"/>
          <w:sz w:val="20"/>
          <w:szCs w:val="20"/>
        </w:rPr>
        <w:t xml:space="preserve">En ce qui concerne le contenu énergétique de l’hydrogène, celui-ci est établi à 33,33kWh/kg. </w:t>
      </w:r>
    </w:p>
    <w:p w:rsidR="007A43E3" w:rsidRDefault="007A43E3" w:rsidP="007A43E3">
      <w:pPr>
        <w:pStyle w:val="Paragraphedeliste"/>
        <w:spacing w:after="240"/>
        <w:ind w:left="720"/>
        <w:jc w:val="both"/>
        <w:rPr>
          <w:rFonts w:ascii="Verdana" w:hAnsi="Verdana"/>
          <w:sz w:val="20"/>
          <w:szCs w:val="20"/>
        </w:rPr>
      </w:pPr>
      <w:r>
        <w:rPr>
          <w:rFonts w:ascii="Verdana" w:hAnsi="Verdana"/>
          <w:sz w:val="20"/>
          <w:szCs w:val="20"/>
        </w:rPr>
        <w:t>Dans son calcul, le proposant devra définir le rendement de l’électrolyseur ainsi que celui du compresseur.</w:t>
      </w:r>
    </w:p>
    <w:p w:rsidR="007A43E3" w:rsidRPr="007A43E3" w:rsidRDefault="007A43E3" w:rsidP="007A43E3">
      <w:pPr>
        <w:pStyle w:val="Paragraphedeliste"/>
        <w:numPr>
          <w:ilvl w:val="0"/>
          <w:numId w:val="13"/>
        </w:numPr>
        <w:spacing w:after="240"/>
        <w:jc w:val="both"/>
        <w:rPr>
          <w:rFonts w:ascii="Verdana" w:hAnsi="Verdana"/>
          <w:sz w:val="20"/>
          <w:szCs w:val="20"/>
        </w:rPr>
      </w:pPr>
      <w:r>
        <w:rPr>
          <w:rFonts w:ascii="Verdana" w:hAnsi="Verdana"/>
          <w:sz w:val="20"/>
          <w:szCs w:val="20"/>
        </w:rPr>
        <w:t>Logistique. Le proposant devra définir les émissions liées au transport de l’hydrogène lorsque le transport se fait par des véhicules automoteurs.</w:t>
      </w:r>
    </w:p>
    <w:p w:rsidR="00D51AAA" w:rsidRDefault="006E0C9B" w:rsidP="006E0C9B">
      <w:pPr>
        <w:pStyle w:val="Paragraphedeliste"/>
        <w:numPr>
          <w:ilvl w:val="0"/>
          <w:numId w:val="12"/>
        </w:numPr>
        <w:spacing w:after="240"/>
        <w:jc w:val="both"/>
        <w:rPr>
          <w:rFonts w:ascii="Verdana" w:hAnsi="Verdana"/>
          <w:b/>
          <w:i/>
          <w:sz w:val="20"/>
          <w:szCs w:val="20"/>
        </w:rPr>
      </w:pPr>
      <w:r>
        <w:rPr>
          <w:rFonts w:ascii="Verdana" w:hAnsi="Verdana"/>
          <w:b/>
          <w:i/>
          <w:sz w:val="20"/>
          <w:szCs w:val="20"/>
        </w:rPr>
        <w:t>Coût</w:t>
      </w:r>
      <w:r w:rsidR="001D4AB7">
        <w:rPr>
          <w:rFonts w:ascii="Verdana" w:hAnsi="Verdana"/>
          <w:b/>
          <w:i/>
          <w:sz w:val="20"/>
          <w:szCs w:val="20"/>
        </w:rPr>
        <w:t xml:space="preserve"> total</w:t>
      </w:r>
      <w:r w:rsidR="00A86508">
        <w:rPr>
          <w:rFonts w:ascii="Verdana" w:hAnsi="Verdana"/>
          <w:b/>
          <w:i/>
          <w:sz w:val="20"/>
          <w:szCs w:val="20"/>
        </w:rPr>
        <w:t xml:space="preserve"> de production de l’hydrogène</w:t>
      </w:r>
    </w:p>
    <w:p w:rsidR="00A86508" w:rsidRPr="00B940B4" w:rsidRDefault="00A86508" w:rsidP="00A86508">
      <w:pPr>
        <w:spacing w:after="240"/>
        <w:jc w:val="both"/>
        <w:rPr>
          <w:rFonts w:ascii="Verdana" w:hAnsi="Verdana"/>
          <w:sz w:val="20"/>
          <w:szCs w:val="20"/>
        </w:rPr>
      </w:pPr>
      <w:r>
        <w:rPr>
          <w:rFonts w:ascii="Verdana" w:hAnsi="Verdana"/>
          <w:sz w:val="20"/>
          <w:szCs w:val="20"/>
        </w:rPr>
        <w:lastRenderedPageBreak/>
        <w:t xml:space="preserve">Chaque proposant devra détailler la structure </w:t>
      </w:r>
      <w:r w:rsidR="001D4AB7">
        <w:rPr>
          <w:rFonts w:ascii="Verdana" w:hAnsi="Verdana"/>
          <w:sz w:val="20"/>
          <w:szCs w:val="20"/>
        </w:rPr>
        <w:t>du coût total de production</w:t>
      </w:r>
      <w:r>
        <w:rPr>
          <w:rFonts w:ascii="Verdana" w:hAnsi="Verdana"/>
          <w:sz w:val="20"/>
          <w:szCs w:val="20"/>
        </w:rPr>
        <w:t xml:space="preserve"> de l’hydrogène ramené au kilogramme fourni en bout de processus. Ce coût devra tenir compte de l’ensemble des coûts d’investissement, d’opérations et de maintenance</w:t>
      </w:r>
      <w:r w:rsidR="00BE1CD4">
        <w:rPr>
          <w:rFonts w:ascii="Verdana" w:hAnsi="Verdana"/>
          <w:sz w:val="20"/>
          <w:szCs w:val="20"/>
        </w:rPr>
        <w:t xml:space="preserve"> sur la durée de vie du projet</w:t>
      </w:r>
      <w:r>
        <w:rPr>
          <w:rFonts w:ascii="Verdana" w:hAnsi="Verdana"/>
          <w:sz w:val="20"/>
          <w:szCs w:val="20"/>
        </w:rPr>
        <w:t xml:space="preserve">, </w:t>
      </w:r>
      <w:r w:rsidR="001D4AB7">
        <w:rPr>
          <w:rFonts w:ascii="Verdana" w:hAnsi="Verdana"/>
          <w:sz w:val="20"/>
          <w:szCs w:val="20"/>
        </w:rPr>
        <w:t>d’achat d’énergies et de valorisation sur le marché de la flexibilité le cas échéant</w:t>
      </w:r>
      <w:r>
        <w:rPr>
          <w:rFonts w:ascii="Verdana" w:hAnsi="Verdana"/>
          <w:sz w:val="20"/>
          <w:szCs w:val="20"/>
        </w:rPr>
        <w:t>, de transport et de distribution</w:t>
      </w:r>
      <w:r w:rsidR="009F6BD9">
        <w:rPr>
          <w:rFonts w:ascii="Verdana" w:hAnsi="Verdana"/>
          <w:sz w:val="20"/>
          <w:szCs w:val="20"/>
        </w:rPr>
        <w:t xml:space="preserve">. </w:t>
      </w:r>
      <w:r w:rsidR="00BE1CD4">
        <w:rPr>
          <w:rFonts w:ascii="Verdana" w:hAnsi="Verdana"/>
          <w:sz w:val="20"/>
          <w:szCs w:val="20"/>
        </w:rPr>
        <w:t>Chaque</w:t>
      </w:r>
      <w:r>
        <w:rPr>
          <w:rFonts w:ascii="Verdana" w:hAnsi="Verdana"/>
          <w:sz w:val="20"/>
          <w:szCs w:val="20"/>
        </w:rPr>
        <w:t xml:space="preserve"> projet devra également présenter une estimation de l’évolution du coût de l’hydrogène sur les cinq premières années d’opération du projet. </w:t>
      </w:r>
      <w:r w:rsidR="007A4BE0">
        <w:rPr>
          <w:rFonts w:ascii="Verdana" w:hAnsi="Verdana"/>
          <w:sz w:val="20"/>
          <w:szCs w:val="20"/>
        </w:rPr>
        <w:t xml:space="preserve"> Cette évolution sera suivie mensuellement durant la mise en œuvre du projet.</w:t>
      </w:r>
    </w:p>
    <w:p w:rsidR="004F47DA" w:rsidRDefault="001D4AB7" w:rsidP="004F47DA">
      <w:pPr>
        <w:spacing w:after="240"/>
        <w:jc w:val="both"/>
        <w:rPr>
          <w:rFonts w:ascii="Verdana" w:hAnsi="Verdana"/>
          <w:sz w:val="20"/>
          <w:szCs w:val="20"/>
        </w:rPr>
      </w:pPr>
      <w:r>
        <w:rPr>
          <w:rFonts w:ascii="Verdana" w:hAnsi="Verdana"/>
          <w:sz w:val="20"/>
          <w:szCs w:val="20"/>
        </w:rPr>
        <w:t>L</w:t>
      </w:r>
      <w:r w:rsidR="004F47DA">
        <w:rPr>
          <w:rFonts w:ascii="Verdana" w:hAnsi="Verdana"/>
          <w:sz w:val="20"/>
          <w:szCs w:val="20"/>
        </w:rPr>
        <w:t xml:space="preserve">e coût global </w:t>
      </w:r>
      <w:r>
        <w:rPr>
          <w:rFonts w:ascii="Verdana" w:hAnsi="Verdana"/>
          <w:sz w:val="20"/>
          <w:szCs w:val="20"/>
        </w:rPr>
        <w:t xml:space="preserve">de chaque </w:t>
      </w:r>
      <w:r w:rsidR="004F47DA">
        <w:rPr>
          <w:rFonts w:ascii="Verdana" w:hAnsi="Verdana"/>
          <w:sz w:val="20"/>
          <w:szCs w:val="20"/>
        </w:rPr>
        <w:t xml:space="preserve">projet </w:t>
      </w:r>
      <w:r>
        <w:rPr>
          <w:rFonts w:ascii="Verdana" w:hAnsi="Verdana"/>
          <w:sz w:val="20"/>
          <w:szCs w:val="20"/>
        </w:rPr>
        <w:t>sera structuré</w:t>
      </w:r>
      <w:r w:rsidR="004F47DA">
        <w:rPr>
          <w:rFonts w:ascii="Verdana" w:hAnsi="Verdana"/>
          <w:sz w:val="20"/>
          <w:szCs w:val="20"/>
        </w:rPr>
        <w:t xml:space="preserve"> comme suit :</w:t>
      </w:r>
    </w:p>
    <w:p w:rsidR="004F47DA" w:rsidRDefault="004F47DA" w:rsidP="004F47DA">
      <w:pPr>
        <w:pStyle w:val="Paragraphedeliste"/>
        <w:numPr>
          <w:ilvl w:val="0"/>
          <w:numId w:val="13"/>
        </w:numPr>
        <w:spacing w:after="240"/>
        <w:jc w:val="both"/>
        <w:rPr>
          <w:rFonts w:ascii="Verdana" w:hAnsi="Verdana"/>
          <w:sz w:val="20"/>
          <w:szCs w:val="20"/>
        </w:rPr>
      </w:pPr>
      <w:r>
        <w:rPr>
          <w:rFonts w:ascii="Verdana" w:hAnsi="Verdana"/>
          <w:sz w:val="20"/>
          <w:szCs w:val="20"/>
        </w:rPr>
        <w:t>Coût de l’unité de production d’hydrogène. Ce coût comprendra typiquement le coût de l’électrolyseur, de son installation, des travaux d’ingénierie relative au raccordement à l’unité de production d’électricité et du réseau électrique lorsque ce type de raccordement est souhaité et à la mise en service.</w:t>
      </w:r>
    </w:p>
    <w:p w:rsidR="004F47DA" w:rsidRDefault="004F47DA" w:rsidP="004F47DA">
      <w:pPr>
        <w:pStyle w:val="Paragraphedeliste"/>
        <w:numPr>
          <w:ilvl w:val="0"/>
          <w:numId w:val="13"/>
        </w:numPr>
        <w:spacing w:after="240"/>
        <w:jc w:val="both"/>
        <w:rPr>
          <w:rFonts w:ascii="Verdana" w:hAnsi="Verdana"/>
          <w:sz w:val="20"/>
          <w:szCs w:val="20"/>
        </w:rPr>
      </w:pPr>
      <w:r>
        <w:rPr>
          <w:rFonts w:ascii="Verdana" w:hAnsi="Verdana"/>
          <w:sz w:val="20"/>
          <w:szCs w:val="20"/>
        </w:rPr>
        <w:t>Coût du compresseur. Ce coût comprendra également l’unité d’embouteillage de l’hydrogène.</w:t>
      </w:r>
    </w:p>
    <w:p w:rsidR="004F47DA" w:rsidRDefault="004F47DA" w:rsidP="004F47DA">
      <w:pPr>
        <w:pStyle w:val="Paragraphedeliste"/>
        <w:numPr>
          <w:ilvl w:val="0"/>
          <w:numId w:val="13"/>
        </w:numPr>
        <w:spacing w:after="240"/>
        <w:jc w:val="both"/>
        <w:rPr>
          <w:rFonts w:ascii="Verdana" w:hAnsi="Verdana"/>
          <w:sz w:val="20"/>
          <w:szCs w:val="20"/>
        </w:rPr>
      </w:pPr>
      <w:r>
        <w:rPr>
          <w:rFonts w:ascii="Verdana" w:hAnsi="Verdana"/>
          <w:sz w:val="20"/>
          <w:szCs w:val="20"/>
        </w:rPr>
        <w:t xml:space="preserve">Coût de l’unité de distribution de l’hydrogène. Ce coût comprendra, outre l’unité de distribution elle-même (station), la chambre de détente et l’aménagement de l’aire de stockage et de manouvre des véhicules. </w:t>
      </w:r>
    </w:p>
    <w:p w:rsidR="004F47DA" w:rsidRDefault="004F47DA" w:rsidP="004F47DA">
      <w:pPr>
        <w:pStyle w:val="Paragraphedeliste"/>
        <w:numPr>
          <w:ilvl w:val="0"/>
          <w:numId w:val="13"/>
        </w:numPr>
        <w:spacing w:after="240"/>
        <w:jc w:val="both"/>
        <w:rPr>
          <w:rFonts w:ascii="Verdana" w:hAnsi="Verdana"/>
          <w:sz w:val="20"/>
          <w:szCs w:val="20"/>
        </w:rPr>
      </w:pPr>
      <w:r>
        <w:rPr>
          <w:rFonts w:ascii="Verdana" w:hAnsi="Verdana"/>
          <w:sz w:val="20"/>
          <w:szCs w:val="20"/>
        </w:rPr>
        <w:t>Coût du transport de l’hydrogène entre le site de production et de distribution.</w:t>
      </w:r>
    </w:p>
    <w:p w:rsidR="00B940B4" w:rsidRDefault="00B940B4" w:rsidP="004F47DA">
      <w:pPr>
        <w:pStyle w:val="Paragraphedeliste"/>
        <w:numPr>
          <w:ilvl w:val="0"/>
          <w:numId w:val="13"/>
        </w:numPr>
        <w:spacing w:after="240"/>
        <w:jc w:val="both"/>
        <w:rPr>
          <w:rFonts w:ascii="Verdana" w:hAnsi="Verdana"/>
          <w:sz w:val="20"/>
          <w:szCs w:val="20"/>
        </w:rPr>
      </w:pPr>
      <w:r>
        <w:rPr>
          <w:rFonts w:ascii="Verdana" w:hAnsi="Verdana"/>
          <w:sz w:val="20"/>
          <w:szCs w:val="20"/>
        </w:rPr>
        <w:t xml:space="preserve">Coût des </w:t>
      </w:r>
      <w:r w:rsidR="004968C4">
        <w:rPr>
          <w:rFonts w:ascii="Verdana" w:hAnsi="Verdana"/>
          <w:sz w:val="20"/>
          <w:szCs w:val="20"/>
        </w:rPr>
        <w:t xml:space="preserve">combustibles, des </w:t>
      </w:r>
      <w:r>
        <w:rPr>
          <w:rFonts w:ascii="Verdana" w:hAnsi="Verdana"/>
          <w:sz w:val="20"/>
          <w:szCs w:val="20"/>
        </w:rPr>
        <w:t>opérations et de la maintenance des installations ;</w:t>
      </w:r>
    </w:p>
    <w:p w:rsidR="001D4AB7" w:rsidRDefault="001D4AB7" w:rsidP="006247CC">
      <w:pPr>
        <w:spacing w:after="240"/>
        <w:jc w:val="both"/>
        <w:rPr>
          <w:rFonts w:ascii="Verdana" w:hAnsi="Verdana"/>
          <w:b/>
          <w:sz w:val="20"/>
          <w:szCs w:val="20"/>
        </w:rPr>
      </w:pPr>
      <w:r>
        <w:rPr>
          <w:rFonts w:ascii="Verdana" w:hAnsi="Verdana"/>
          <w:b/>
          <w:sz w:val="20"/>
          <w:szCs w:val="20"/>
        </w:rPr>
        <w:t>Le coût total de production de l’hydrogène sera comparé au prix du diesel</w:t>
      </w:r>
      <w:r w:rsidR="007A4BE0">
        <w:rPr>
          <w:rFonts w:ascii="Verdana" w:hAnsi="Verdana"/>
          <w:b/>
          <w:sz w:val="20"/>
          <w:szCs w:val="20"/>
        </w:rPr>
        <w:t xml:space="preserve"> (à usage professionnel pour véhicules lourds)</w:t>
      </w:r>
      <w:r>
        <w:rPr>
          <w:rFonts w:ascii="Verdana" w:hAnsi="Verdana"/>
          <w:b/>
          <w:sz w:val="20"/>
          <w:szCs w:val="20"/>
        </w:rPr>
        <w:t>, considéré comme carburant de référence</w:t>
      </w:r>
      <w:r w:rsidR="009B19A6">
        <w:rPr>
          <w:rFonts w:ascii="Verdana" w:hAnsi="Verdana"/>
          <w:b/>
          <w:sz w:val="20"/>
          <w:szCs w:val="20"/>
        </w:rPr>
        <w:t>, sur base d’un</w:t>
      </w:r>
      <w:r w:rsidR="007A4BE0">
        <w:rPr>
          <w:rFonts w:ascii="Verdana" w:hAnsi="Verdana"/>
          <w:b/>
          <w:sz w:val="20"/>
          <w:szCs w:val="20"/>
        </w:rPr>
        <w:t xml:space="preserve">e consommation standardisée moyenne ramenée à 100km (exprimée en litre pour le diesel et en kg pour l’hydrogène). </w:t>
      </w:r>
      <w:r>
        <w:rPr>
          <w:rFonts w:ascii="Verdana" w:hAnsi="Verdana"/>
          <w:b/>
          <w:sz w:val="20"/>
          <w:szCs w:val="20"/>
        </w:rPr>
        <w:t>Si le coût de production de l’hydrogène est supérieur au prix du diesel</w:t>
      </w:r>
      <w:r w:rsidR="009B19A6">
        <w:rPr>
          <w:rFonts w:ascii="Verdana" w:hAnsi="Verdana"/>
          <w:b/>
          <w:sz w:val="20"/>
          <w:szCs w:val="20"/>
        </w:rPr>
        <w:t>, le proposant pourra faire appel à un double mécanisme de soutien visant à compenser le surcoût de production de l’hydrogène.</w:t>
      </w:r>
    </w:p>
    <w:p w:rsidR="009B19A6" w:rsidRDefault="009B19A6" w:rsidP="006247CC">
      <w:pPr>
        <w:spacing w:after="240"/>
        <w:jc w:val="both"/>
        <w:rPr>
          <w:rFonts w:ascii="Verdana" w:hAnsi="Verdana"/>
          <w:b/>
          <w:sz w:val="20"/>
          <w:szCs w:val="20"/>
        </w:rPr>
      </w:pPr>
      <w:r>
        <w:rPr>
          <w:rFonts w:ascii="Verdana" w:hAnsi="Verdana"/>
          <w:b/>
          <w:sz w:val="20"/>
          <w:szCs w:val="20"/>
        </w:rPr>
        <w:t xml:space="preserve">Ce mécanisme </w:t>
      </w:r>
      <w:r w:rsidR="00236D4C">
        <w:rPr>
          <w:rFonts w:ascii="Verdana" w:hAnsi="Verdana"/>
          <w:b/>
          <w:sz w:val="20"/>
          <w:szCs w:val="20"/>
        </w:rPr>
        <w:t>de soutien est double (voir point 9 infra) :</w:t>
      </w:r>
    </w:p>
    <w:p w:rsidR="009B19A6" w:rsidRDefault="009B19A6" w:rsidP="009F6BD9">
      <w:pPr>
        <w:pStyle w:val="Paragraphedeliste"/>
        <w:numPr>
          <w:ilvl w:val="0"/>
          <w:numId w:val="20"/>
        </w:numPr>
        <w:spacing w:after="240"/>
        <w:jc w:val="both"/>
        <w:rPr>
          <w:rFonts w:ascii="Verdana" w:hAnsi="Verdana"/>
          <w:b/>
          <w:sz w:val="20"/>
          <w:szCs w:val="20"/>
        </w:rPr>
      </w:pPr>
      <w:r>
        <w:rPr>
          <w:rFonts w:ascii="Verdana" w:hAnsi="Verdana"/>
          <w:b/>
          <w:sz w:val="20"/>
          <w:szCs w:val="20"/>
        </w:rPr>
        <w:t>Une avance récupérable prév</w:t>
      </w:r>
      <w:r w:rsidR="00236D4C">
        <w:rPr>
          <w:rFonts w:ascii="Verdana" w:hAnsi="Verdana"/>
          <w:b/>
          <w:sz w:val="20"/>
          <w:szCs w:val="20"/>
        </w:rPr>
        <w:t>ue dans le cadre du fonds Kyoto en 2019 ;</w:t>
      </w:r>
    </w:p>
    <w:p w:rsidR="0074663F" w:rsidRPr="009F6BD9" w:rsidRDefault="0074663F" w:rsidP="009F6BD9">
      <w:pPr>
        <w:pStyle w:val="Paragraphedeliste"/>
        <w:numPr>
          <w:ilvl w:val="0"/>
          <w:numId w:val="20"/>
        </w:numPr>
        <w:spacing w:after="240"/>
        <w:jc w:val="both"/>
        <w:rPr>
          <w:rFonts w:ascii="Verdana" w:hAnsi="Verdana"/>
          <w:b/>
          <w:sz w:val="20"/>
          <w:szCs w:val="20"/>
        </w:rPr>
      </w:pPr>
      <w:r>
        <w:rPr>
          <w:rFonts w:ascii="Verdana" w:hAnsi="Verdana"/>
          <w:b/>
          <w:sz w:val="20"/>
          <w:szCs w:val="20"/>
        </w:rPr>
        <w:t>Une subvention qui couvre exactement le surcoût de production de l’hydrogène par rapport à la référence diesel</w:t>
      </w:r>
      <w:r w:rsidR="00236D4C">
        <w:rPr>
          <w:rFonts w:ascii="Verdana" w:hAnsi="Verdana"/>
          <w:b/>
          <w:sz w:val="20"/>
          <w:szCs w:val="20"/>
        </w:rPr>
        <w:t>, octroyée de 2020 à 2024</w:t>
      </w:r>
      <w:r>
        <w:rPr>
          <w:rFonts w:ascii="Verdana" w:hAnsi="Verdana"/>
          <w:b/>
          <w:sz w:val="20"/>
          <w:szCs w:val="20"/>
        </w:rPr>
        <w:t> ;</w:t>
      </w:r>
    </w:p>
    <w:p w:rsidR="0074663F" w:rsidRDefault="0074663F" w:rsidP="0074663F">
      <w:pPr>
        <w:spacing w:after="240"/>
        <w:jc w:val="both"/>
        <w:rPr>
          <w:rFonts w:ascii="Verdana" w:hAnsi="Verdana"/>
          <w:sz w:val="20"/>
          <w:szCs w:val="20"/>
        </w:rPr>
      </w:pPr>
      <w:r>
        <w:rPr>
          <w:rFonts w:ascii="Verdana" w:hAnsi="Verdana"/>
          <w:sz w:val="20"/>
          <w:szCs w:val="20"/>
        </w:rPr>
        <w:t>Chaque proposant devra expliciter les hypothèses techniques et économiques utilisées, dont notamment celles concernant le prix du diesel et son évolution dans le temps. Cette évolution sera suivie mensuellement durant la mise en œuvre du projet</w:t>
      </w:r>
      <w:r w:rsidR="007A4BE0">
        <w:rPr>
          <w:rFonts w:ascii="Verdana" w:hAnsi="Verdana"/>
          <w:sz w:val="20"/>
          <w:szCs w:val="20"/>
        </w:rPr>
        <w:t xml:space="preserve"> et ainsi comparée au coût de production de l’hydrogène</w:t>
      </w:r>
      <w:r w:rsidR="009F6BD9">
        <w:rPr>
          <w:rFonts w:ascii="Verdana" w:hAnsi="Verdana"/>
          <w:sz w:val="20"/>
          <w:szCs w:val="20"/>
        </w:rPr>
        <w:t>.</w:t>
      </w:r>
    </w:p>
    <w:p w:rsidR="00800EBF" w:rsidRDefault="00800EBF" w:rsidP="0074663F">
      <w:pPr>
        <w:spacing w:after="240"/>
        <w:jc w:val="both"/>
        <w:rPr>
          <w:rFonts w:ascii="Verdana" w:hAnsi="Verdana"/>
          <w:sz w:val="20"/>
          <w:szCs w:val="20"/>
        </w:rPr>
      </w:pPr>
      <w:r w:rsidRPr="00FD10ED">
        <w:rPr>
          <w:rFonts w:ascii="Verdana" w:hAnsi="Verdana"/>
          <w:b/>
          <w:sz w:val="20"/>
          <w:szCs w:val="20"/>
        </w:rPr>
        <w:t>Le strict respect de la règlementation sur les aides d’état sera d’application, principalement sur les montants sur lesquels portera le mécanisme de soutien</w:t>
      </w:r>
      <w:r>
        <w:rPr>
          <w:rFonts w:ascii="Verdana" w:hAnsi="Verdana"/>
          <w:b/>
          <w:sz w:val="20"/>
          <w:szCs w:val="20"/>
        </w:rPr>
        <w:t xml:space="preserve"> qui vise à ne couvrir que les surcoûts de production</w:t>
      </w:r>
      <w:r w:rsidRPr="00FD10ED">
        <w:rPr>
          <w:rFonts w:ascii="Verdana" w:hAnsi="Verdana"/>
          <w:b/>
          <w:sz w:val="20"/>
          <w:szCs w:val="20"/>
        </w:rPr>
        <w:t xml:space="preserve">. Tout non respect de ces </w:t>
      </w:r>
      <w:r>
        <w:rPr>
          <w:rFonts w:ascii="Verdana" w:hAnsi="Verdana"/>
          <w:b/>
          <w:sz w:val="20"/>
          <w:szCs w:val="20"/>
        </w:rPr>
        <w:t>règles</w:t>
      </w:r>
      <w:r w:rsidRPr="00FD10ED">
        <w:rPr>
          <w:rFonts w:ascii="Verdana" w:hAnsi="Verdana"/>
          <w:b/>
          <w:sz w:val="20"/>
          <w:szCs w:val="20"/>
        </w:rPr>
        <w:t xml:space="preserve"> entrainera le remboursement des aides consenties.</w:t>
      </w:r>
    </w:p>
    <w:p w:rsidR="007A4BE0" w:rsidRDefault="007A4BE0" w:rsidP="0074663F">
      <w:pPr>
        <w:spacing w:after="240"/>
        <w:jc w:val="both"/>
        <w:rPr>
          <w:rFonts w:ascii="Verdana" w:hAnsi="Verdana"/>
          <w:sz w:val="20"/>
          <w:szCs w:val="20"/>
        </w:rPr>
      </w:pPr>
    </w:p>
    <w:p w:rsidR="007A4BE0" w:rsidRPr="007A4BE0" w:rsidRDefault="007A4BE0" w:rsidP="007A4BE0">
      <w:pPr>
        <w:pStyle w:val="Paragraphedeliste"/>
        <w:numPr>
          <w:ilvl w:val="0"/>
          <w:numId w:val="12"/>
        </w:numPr>
        <w:spacing w:after="240"/>
        <w:jc w:val="both"/>
        <w:rPr>
          <w:rFonts w:ascii="Verdana" w:hAnsi="Verdana"/>
          <w:b/>
          <w:i/>
          <w:sz w:val="20"/>
          <w:szCs w:val="20"/>
        </w:rPr>
      </w:pPr>
      <w:r>
        <w:rPr>
          <w:rFonts w:ascii="Verdana" w:hAnsi="Verdana"/>
          <w:b/>
          <w:i/>
          <w:sz w:val="20"/>
          <w:szCs w:val="20"/>
        </w:rPr>
        <w:t>Usage de l’hydrogène – flotte de véhicules</w:t>
      </w:r>
    </w:p>
    <w:p w:rsidR="00800EBF" w:rsidRDefault="00800EBF" w:rsidP="006247CC">
      <w:pPr>
        <w:spacing w:after="240"/>
        <w:jc w:val="both"/>
        <w:rPr>
          <w:rFonts w:ascii="Verdana" w:hAnsi="Verdana" w:cs="Verdana"/>
          <w:sz w:val="20"/>
          <w:szCs w:val="20"/>
          <w:lang w:val="fr-BE"/>
        </w:rPr>
      </w:pPr>
      <w:r>
        <w:rPr>
          <w:rFonts w:ascii="Verdana" w:hAnsi="Verdana" w:cs="Verdana"/>
          <w:sz w:val="20"/>
          <w:szCs w:val="20"/>
          <w:lang w:val="fr-BE"/>
        </w:rPr>
        <w:lastRenderedPageBreak/>
        <w:t>Chaque projet portera tant sur la production et la distribution de l’hydrogène que sur les applications y liées. Le projet devra mentionner son budget global en tenant compte de tous les éléments repris au point 7 mais également les coûts indicatifs de la présente partie 8 relative aux applications.</w:t>
      </w:r>
    </w:p>
    <w:p w:rsidR="00800EBF" w:rsidRDefault="00800EBF" w:rsidP="006247CC">
      <w:pPr>
        <w:spacing w:after="240"/>
        <w:jc w:val="both"/>
        <w:rPr>
          <w:rFonts w:ascii="Verdana" w:hAnsi="Verdana" w:cs="Verdana"/>
          <w:sz w:val="20"/>
          <w:szCs w:val="20"/>
          <w:lang w:val="fr-BE"/>
        </w:rPr>
      </w:pPr>
      <w:r>
        <w:rPr>
          <w:rFonts w:ascii="Verdana" w:hAnsi="Verdana"/>
          <w:sz w:val="20"/>
          <w:szCs w:val="20"/>
        </w:rPr>
        <w:t>Chaque projet devra préciser la répartition des ventes d’hydrogène entre les différentes applications envisagées.</w:t>
      </w:r>
    </w:p>
    <w:p w:rsidR="00800EBF" w:rsidRDefault="00800EBF" w:rsidP="006247CC">
      <w:pPr>
        <w:spacing w:after="240"/>
        <w:jc w:val="both"/>
        <w:rPr>
          <w:rFonts w:ascii="Verdana" w:hAnsi="Verdana"/>
          <w:sz w:val="20"/>
          <w:szCs w:val="20"/>
        </w:rPr>
      </w:pPr>
      <w:r>
        <w:rPr>
          <w:rFonts w:ascii="Verdana" w:hAnsi="Verdana"/>
          <w:sz w:val="20"/>
          <w:szCs w:val="20"/>
        </w:rPr>
        <w:t>Chaque projet devra reprendre : les coûts d’acquisition des diverses applications (les bus et autre</w:t>
      </w:r>
      <w:r w:rsidR="00216615">
        <w:rPr>
          <w:rFonts w:ascii="Verdana" w:hAnsi="Verdana"/>
          <w:sz w:val="20"/>
          <w:szCs w:val="20"/>
        </w:rPr>
        <w:t>s</w:t>
      </w:r>
      <w:r>
        <w:rPr>
          <w:rFonts w:ascii="Verdana" w:hAnsi="Verdana"/>
          <w:sz w:val="20"/>
          <w:szCs w:val="20"/>
        </w:rPr>
        <w:t xml:space="preserve"> véhicules roulant à l’hydrogène) </w:t>
      </w:r>
      <w:r w:rsidR="00216615">
        <w:rPr>
          <w:rFonts w:ascii="Verdana" w:hAnsi="Verdana"/>
          <w:sz w:val="20"/>
          <w:szCs w:val="20"/>
        </w:rPr>
        <w:t>ainsi que les frais d’exploitation considérant un prix du carburant équivalent à celui de l’hydrogène.</w:t>
      </w:r>
    </w:p>
    <w:p w:rsidR="006247CC" w:rsidRDefault="00800EBF" w:rsidP="006247CC">
      <w:pPr>
        <w:spacing w:after="240"/>
        <w:jc w:val="both"/>
        <w:rPr>
          <w:rFonts w:ascii="Verdana" w:hAnsi="Verdana"/>
          <w:sz w:val="20"/>
          <w:szCs w:val="20"/>
        </w:rPr>
      </w:pPr>
      <w:r>
        <w:rPr>
          <w:rFonts w:ascii="Verdana" w:hAnsi="Verdana"/>
          <w:sz w:val="20"/>
          <w:szCs w:val="20"/>
        </w:rPr>
        <w:t xml:space="preserve">Chaque proposant devra </w:t>
      </w:r>
      <w:r w:rsidR="006247CC">
        <w:rPr>
          <w:rFonts w:ascii="Verdana" w:hAnsi="Verdana"/>
          <w:sz w:val="20"/>
          <w:szCs w:val="20"/>
        </w:rPr>
        <w:t>remettre toutes les preuves d’engagement des partenaires pour le déploiement de</w:t>
      </w:r>
      <w:r w:rsidR="00216615">
        <w:rPr>
          <w:rFonts w:ascii="Verdana" w:hAnsi="Verdana"/>
          <w:sz w:val="20"/>
          <w:szCs w:val="20"/>
        </w:rPr>
        <w:t>s flottes de véhicules</w:t>
      </w:r>
      <w:r w:rsidR="00A86508">
        <w:rPr>
          <w:rFonts w:ascii="Verdana" w:hAnsi="Verdana"/>
          <w:sz w:val="20"/>
          <w:szCs w:val="20"/>
        </w:rPr>
        <w:t xml:space="preserve">, en particulier concernant l’acquisition des </w:t>
      </w:r>
      <w:r w:rsidR="00236D4C">
        <w:rPr>
          <w:rFonts w:ascii="Verdana" w:hAnsi="Verdana"/>
          <w:sz w:val="20"/>
          <w:szCs w:val="20"/>
        </w:rPr>
        <w:t>bus</w:t>
      </w:r>
      <w:r w:rsidR="006247CC">
        <w:rPr>
          <w:rFonts w:ascii="Verdana" w:hAnsi="Verdana"/>
          <w:sz w:val="20"/>
          <w:szCs w:val="20"/>
        </w:rPr>
        <w:t>. Ces preuves consisteront en :</w:t>
      </w:r>
    </w:p>
    <w:p w:rsidR="006247CC" w:rsidRDefault="006247CC" w:rsidP="00E379E8">
      <w:pPr>
        <w:pStyle w:val="Paragraphedeliste"/>
        <w:numPr>
          <w:ilvl w:val="0"/>
          <w:numId w:val="13"/>
        </w:numPr>
        <w:spacing w:after="240"/>
        <w:jc w:val="both"/>
        <w:rPr>
          <w:rFonts w:ascii="Verdana" w:hAnsi="Verdana"/>
          <w:sz w:val="20"/>
          <w:szCs w:val="20"/>
        </w:rPr>
      </w:pPr>
      <w:r>
        <w:rPr>
          <w:rFonts w:ascii="Verdana" w:hAnsi="Verdana"/>
          <w:sz w:val="20"/>
          <w:szCs w:val="20"/>
        </w:rPr>
        <w:t xml:space="preserve">Engagement </w:t>
      </w:r>
      <w:r w:rsidR="00A86508">
        <w:rPr>
          <w:rFonts w:ascii="Verdana" w:hAnsi="Verdana"/>
          <w:sz w:val="20"/>
          <w:szCs w:val="20"/>
        </w:rPr>
        <w:t>du</w:t>
      </w:r>
      <w:r>
        <w:rPr>
          <w:rFonts w:ascii="Verdana" w:hAnsi="Verdana"/>
          <w:sz w:val="20"/>
          <w:szCs w:val="20"/>
        </w:rPr>
        <w:t xml:space="preserve"> partenaire </w:t>
      </w:r>
      <w:r w:rsidR="00A86508">
        <w:rPr>
          <w:rFonts w:ascii="Verdana" w:hAnsi="Verdana"/>
          <w:sz w:val="20"/>
          <w:szCs w:val="20"/>
        </w:rPr>
        <w:t>concerné d’acquérir et exploiter les véhicules visés par le projet</w:t>
      </w:r>
      <w:r>
        <w:rPr>
          <w:rFonts w:ascii="Verdana" w:hAnsi="Verdana"/>
          <w:sz w:val="20"/>
          <w:szCs w:val="20"/>
        </w:rPr>
        <w:t> </w:t>
      </w:r>
      <w:r w:rsidR="00E379E8">
        <w:rPr>
          <w:rFonts w:ascii="Verdana" w:hAnsi="Verdana"/>
          <w:sz w:val="20"/>
          <w:szCs w:val="20"/>
        </w:rPr>
        <w:t xml:space="preserve">ou de confier dette mission à un tiers qui sera alors soumis aux conditions du projet soumis dans le cadre de l’appel à candidat </w:t>
      </w:r>
      <w:r>
        <w:rPr>
          <w:rFonts w:ascii="Verdana" w:hAnsi="Verdana"/>
          <w:sz w:val="20"/>
          <w:szCs w:val="20"/>
        </w:rPr>
        <w:t>;</w:t>
      </w:r>
    </w:p>
    <w:p w:rsidR="006247CC" w:rsidRDefault="006247CC" w:rsidP="006247CC">
      <w:pPr>
        <w:pStyle w:val="Paragraphedeliste"/>
        <w:numPr>
          <w:ilvl w:val="0"/>
          <w:numId w:val="13"/>
        </w:numPr>
        <w:spacing w:after="240"/>
        <w:jc w:val="both"/>
        <w:rPr>
          <w:rFonts w:ascii="Verdana" w:hAnsi="Verdana"/>
          <w:sz w:val="20"/>
          <w:szCs w:val="20"/>
        </w:rPr>
      </w:pPr>
      <w:r>
        <w:rPr>
          <w:rFonts w:ascii="Verdana" w:hAnsi="Verdana"/>
          <w:sz w:val="20"/>
          <w:szCs w:val="20"/>
        </w:rPr>
        <w:t>Toute preuve d’immobilisation financière visant à l’acquisition des solutions envisagées ;</w:t>
      </w:r>
    </w:p>
    <w:p w:rsidR="006247CC" w:rsidRDefault="006247CC" w:rsidP="006247CC">
      <w:pPr>
        <w:pStyle w:val="Paragraphedeliste"/>
        <w:numPr>
          <w:ilvl w:val="0"/>
          <w:numId w:val="13"/>
        </w:numPr>
        <w:spacing w:after="240"/>
        <w:jc w:val="both"/>
        <w:rPr>
          <w:rFonts w:ascii="Verdana" w:hAnsi="Verdana"/>
          <w:sz w:val="20"/>
          <w:szCs w:val="20"/>
        </w:rPr>
      </w:pPr>
      <w:r>
        <w:rPr>
          <w:rFonts w:ascii="Verdana" w:hAnsi="Verdana"/>
          <w:sz w:val="20"/>
          <w:szCs w:val="20"/>
        </w:rPr>
        <w:t>Toute remise de prix déjà obtenue </w:t>
      </w:r>
      <w:r w:rsidR="00A86508">
        <w:rPr>
          <w:rFonts w:ascii="Verdana" w:hAnsi="Verdana"/>
          <w:sz w:val="20"/>
          <w:szCs w:val="20"/>
        </w:rPr>
        <w:t xml:space="preserve">et, le cas échéant, la preuve de l’obtention </w:t>
      </w:r>
      <w:r w:rsidR="00560886">
        <w:rPr>
          <w:rFonts w:ascii="Verdana" w:hAnsi="Verdana"/>
          <w:sz w:val="20"/>
          <w:szCs w:val="20"/>
        </w:rPr>
        <w:t xml:space="preserve">ou d’une intention de l’obtention </w:t>
      </w:r>
      <w:r w:rsidR="00A86508">
        <w:rPr>
          <w:rFonts w:ascii="Verdana" w:hAnsi="Verdana"/>
          <w:sz w:val="20"/>
          <w:szCs w:val="20"/>
        </w:rPr>
        <w:t xml:space="preserve">de subsides européens </w:t>
      </w:r>
      <w:r>
        <w:rPr>
          <w:rFonts w:ascii="Verdana" w:hAnsi="Verdana"/>
          <w:sz w:val="20"/>
          <w:szCs w:val="20"/>
        </w:rPr>
        <w:t>;</w:t>
      </w:r>
    </w:p>
    <w:p w:rsidR="006247CC" w:rsidRDefault="006247CC" w:rsidP="006247CC">
      <w:pPr>
        <w:pStyle w:val="Paragraphedeliste"/>
        <w:numPr>
          <w:ilvl w:val="0"/>
          <w:numId w:val="13"/>
        </w:numPr>
        <w:spacing w:after="240"/>
        <w:jc w:val="both"/>
        <w:rPr>
          <w:rFonts w:ascii="Verdana" w:hAnsi="Verdana"/>
          <w:sz w:val="20"/>
          <w:szCs w:val="20"/>
        </w:rPr>
      </w:pPr>
      <w:r>
        <w:rPr>
          <w:rFonts w:ascii="Verdana" w:hAnsi="Verdana"/>
          <w:sz w:val="20"/>
          <w:szCs w:val="20"/>
        </w:rPr>
        <w:t>Détail des procédures pour les partenaires publics avec calendrier de celles-ci</w:t>
      </w:r>
      <w:r w:rsidR="002135A4">
        <w:rPr>
          <w:rFonts w:ascii="Verdana" w:hAnsi="Verdana"/>
          <w:sz w:val="20"/>
          <w:szCs w:val="20"/>
        </w:rPr>
        <w:t>.</w:t>
      </w:r>
    </w:p>
    <w:p w:rsidR="002135A4" w:rsidRDefault="002135A4" w:rsidP="002135A4">
      <w:pPr>
        <w:spacing w:after="240"/>
        <w:jc w:val="both"/>
        <w:rPr>
          <w:rFonts w:ascii="Verdana" w:hAnsi="Verdana"/>
          <w:sz w:val="20"/>
          <w:szCs w:val="20"/>
        </w:rPr>
      </w:pPr>
      <w:r>
        <w:rPr>
          <w:rFonts w:ascii="Verdana" w:hAnsi="Verdana"/>
          <w:sz w:val="20"/>
          <w:szCs w:val="20"/>
        </w:rPr>
        <w:t xml:space="preserve">Le proposant doit pouvoir inclure dans son projet toute source de cofinancement déjà acquis </w:t>
      </w:r>
      <w:r w:rsidR="00FD10ED">
        <w:rPr>
          <w:rFonts w:ascii="Verdana" w:hAnsi="Verdana"/>
          <w:sz w:val="20"/>
          <w:szCs w:val="20"/>
        </w:rPr>
        <w:t xml:space="preserve">ou potentiel </w:t>
      </w:r>
      <w:r>
        <w:rPr>
          <w:rFonts w:ascii="Verdana" w:hAnsi="Verdana"/>
          <w:sz w:val="20"/>
          <w:szCs w:val="20"/>
        </w:rPr>
        <w:t>tant pour l’unité de production de l’hydrogène que pour les applications.</w:t>
      </w:r>
      <w:r w:rsidR="00FD10ED">
        <w:rPr>
          <w:rFonts w:ascii="Verdana" w:hAnsi="Verdana"/>
          <w:sz w:val="20"/>
          <w:szCs w:val="20"/>
        </w:rPr>
        <w:t xml:space="preserve"> Ces sources de cofinancement peuvent être multiples, qu’il s’agisse de cofinancements régionaux, nationaux ou européens</w:t>
      </w:r>
      <w:r w:rsidR="00B940B4">
        <w:rPr>
          <w:rFonts w:ascii="Verdana" w:hAnsi="Verdana"/>
          <w:sz w:val="20"/>
          <w:szCs w:val="20"/>
        </w:rPr>
        <w:t>. Les mécanismes de rétribution de la flexibilité</w:t>
      </w:r>
      <w:r w:rsidR="00C91851">
        <w:rPr>
          <w:rFonts w:ascii="Verdana" w:hAnsi="Verdana"/>
          <w:sz w:val="20"/>
          <w:szCs w:val="20"/>
        </w:rPr>
        <w:t xml:space="preserve"> (</w:t>
      </w:r>
      <w:proofErr w:type="spellStart"/>
      <w:r w:rsidR="00C91851">
        <w:rPr>
          <w:rFonts w:ascii="Verdana" w:hAnsi="Verdana"/>
          <w:sz w:val="20"/>
          <w:szCs w:val="20"/>
        </w:rPr>
        <w:t>grid</w:t>
      </w:r>
      <w:proofErr w:type="spellEnd"/>
      <w:r w:rsidR="00C91851">
        <w:rPr>
          <w:rFonts w:ascii="Verdana" w:hAnsi="Verdana"/>
          <w:sz w:val="20"/>
          <w:szCs w:val="20"/>
        </w:rPr>
        <w:t xml:space="preserve"> </w:t>
      </w:r>
      <w:proofErr w:type="spellStart"/>
      <w:r w:rsidR="00C91851">
        <w:rPr>
          <w:rFonts w:ascii="Verdana" w:hAnsi="Verdana"/>
          <w:sz w:val="20"/>
          <w:szCs w:val="20"/>
        </w:rPr>
        <w:t>balanc</w:t>
      </w:r>
      <w:r w:rsidR="00035CEA">
        <w:rPr>
          <w:rFonts w:ascii="Verdana" w:hAnsi="Verdana"/>
          <w:sz w:val="20"/>
          <w:szCs w:val="20"/>
        </w:rPr>
        <w:t>in</w:t>
      </w:r>
      <w:r w:rsidR="00C91851">
        <w:rPr>
          <w:rFonts w:ascii="Verdana" w:hAnsi="Verdana"/>
          <w:sz w:val="20"/>
          <w:szCs w:val="20"/>
        </w:rPr>
        <w:t>g</w:t>
      </w:r>
      <w:proofErr w:type="spellEnd"/>
      <w:r w:rsidR="00C91851">
        <w:rPr>
          <w:rFonts w:ascii="Verdana" w:hAnsi="Verdana"/>
          <w:sz w:val="20"/>
          <w:szCs w:val="20"/>
        </w:rPr>
        <w:t>)</w:t>
      </w:r>
      <w:r w:rsidR="00B940B4">
        <w:rPr>
          <w:rFonts w:ascii="Verdana" w:hAnsi="Verdana"/>
          <w:sz w:val="20"/>
          <w:szCs w:val="20"/>
        </w:rPr>
        <w:t xml:space="preserve"> devront faire l’objet d’une évaluation s’ils sont d’application.</w:t>
      </w:r>
    </w:p>
    <w:p w:rsidR="00EB0F72" w:rsidRPr="006E0C9B" w:rsidRDefault="00236D4C" w:rsidP="007A4BE0">
      <w:pPr>
        <w:pStyle w:val="Paragraphedeliste"/>
        <w:numPr>
          <w:ilvl w:val="0"/>
          <w:numId w:val="12"/>
        </w:numPr>
        <w:spacing w:after="240"/>
        <w:jc w:val="both"/>
        <w:rPr>
          <w:rFonts w:ascii="Verdana" w:hAnsi="Verdana"/>
          <w:b/>
          <w:i/>
          <w:sz w:val="20"/>
          <w:szCs w:val="20"/>
        </w:rPr>
      </w:pPr>
      <w:r>
        <w:rPr>
          <w:rFonts w:ascii="Verdana" w:hAnsi="Verdana"/>
          <w:b/>
          <w:i/>
          <w:sz w:val="20"/>
          <w:szCs w:val="20"/>
        </w:rPr>
        <w:t>Détail du m</w:t>
      </w:r>
      <w:r w:rsidR="00800EBF">
        <w:rPr>
          <w:rFonts w:ascii="Verdana" w:hAnsi="Verdana"/>
          <w:b/>
          <w:i/>
          <w:sz w:val="20"/>
          <w:szCs w:val="20"/>
        </w:rPr>
        <w:t>écanisme de soutien</w:t>
      </w:r>
    </w:p>
    <w:p w:rsidR="0015297D" w:rsidRDefault="00236D4C" w:rsidP="004A5847">
      <w:pPr>
        <w:pStyle w:val="Paragraphedeliste"/>
        <w:ind w:left="0"/>
        <w:jc w:val="both"/>
        <w:rPr>
          <w:rFonts w:ascii="Verdana" w:hAnsi="Verdana" w:cs="Verdana"/>
          <w:sz w:val="20"/>
          <w:szCs w:val="20"/>
          <w:lang w:val="fr-BE"/>
        </w:rPr>
      </w:pPr>
      <w:r>
        <w:rPr>
          <w:rFonts w:ascii="Verdana" w:hAnsi="Verdana" w:cs="Verdana"/>
          <w:sz w:val="20"/>
          <w:szCs w:val="20"/>
          <w:lang w:val="fr-BE"/>
        </w:rPr>
        <w:t>L</w:t>
      </w:r>
      <w:r w:rsidR="0015297D">
        <w:rPr>
          <w:rFonts w:ascii="Verdana" w:hAnsi="Verdana" w:cs="Verdana"/>
          <w:sz w:val="20"/>
          <w:szCs w:val="20"/>
          <w:lang w:val="fr-BE"/>
        </w:rPr>
        <w:t xml:space="preserve">e mécanisme de soutien </w:t>
      </w:r>
      <w:r w:rsidR="00D96C34">
        <w:rPr>
          <w:rFonts w:ascii="Verdana" w:hAnsi="Verdana" w:cs="Verdana"/>
          <w:sz w:val="20"/>
          <w:szCs w:val="20"/>
          <w:lang w:val="fr-BE"/>
        </w:rPr>
        <w:t>est</w:t>
      </w:r>
      <w:r w:rsidR="0015297D">
        <w:rPr>
          <w:rFonts w:ascii="Verdana" w:hAnsi="Verdana" w:cs="Verdana"/>
          <w:sz w:val="20"/>
          <w:szCs w:val="20"/>
          <w:lang w:val="fr-BE"/>
        </w:rPr>
        <w:t xml:space="preserve"> double :</w:t>
      </w:r>
    </w:p>
    <w:p w:rsidR="0015297D" w:rsidRDefault="0015297D" w:rsidP="004A5847">
      <w:pPr>
        <w:pStyle w:val="Paragraphedeliste"/>
        <w:ind w:left="0"/>
        <w:jc w:val="both"/>
        <w:rPr>
          <w:rFonts w:ascii="Verdana" w:hAnsi="Verdana" w:cs="Verdana"/>
          <w:sz w:val="20"/>
          <w:szCs w:val="20"/>
          <w:lang w:val="fr-BE"/>
        </w:rPr>
      </w:pPr>
    </w:p>
    <w:p w:rsidR="0015297D" w:rsidRDefault="00D96C34" w:rsidP="0015297D">
      <w:pPr>
        <w:pStyle w:val="Paragraphedeliste"/>
        <w:numPr>
          <w:ilvl w:val="0"/>
          <w:numId w:val="17"/>
        </w:numPr>
        <w:jc w:val="both"/>
        <w:rPr>
          <w:rFonts w:ascii="Verdana" w:hAnsi="Verdana" w:cs="Verdana"/>
          <w:sz w:val="20"/>
          <w:szCs w:val="20"/>
          <w:lang w:val="fr-BE"/>
        </w:rPr>
      </w:pPr>
      <w:r>
        <w:rPr>
          <w:rFonts w:ascii="Verdana" w:hAnsi="Verdana" w:cs="Verdana"/>
          <w:sz w:val="20"/>
          <w:szCs w:val="20"/>
          <w:lang w:val="fr-BE"/>
        </w:rPr>
        <w:t xml:space="preserve">Une </w:t>
      </w:r>
      <w:r w:rsidRPr="000D252A">
        <w:rPr>
          <w:rFonts w:ascii="Verdana" w:hAnsi="Verdana" w:cs="Verdana"/>
          <w:b/>
          <w:sz w:val="20"/>
          <w:szCs w:val="20"/>
          <w:lang w:val="fr-BE"/>
        </w:rPr>
        <w:t>avance récupérable</w:t>
      </w:r>
      <w:r>
        <w:rPr>
          <w:rFonts w:ascii="Verdana" w:hAnsi="Verdana" w:cs="Verdana"/>
          <w:sz w:val="20"/>
          <w:szCs w:val="20"/>
          <w:lang w:val="fr-BE"/>
        </w:rPr>
        <w:t xml:space="preserve"> </w:t>
      </w:r>
      <w:r w:rsidR="00236D4C">
        <w:rPr>
          <w:rFonts w:ascii="Verdana" w:hAnsi="Verdana" w:cs="Verdana"/>
          <w:sz w:val="20"/>
          <w:szCs w:val="20"/>
          <w:lang w:val="fr-BE"/>
        </w:rPr>
        <w:t xml:space="preserve">prévue dans le cadre du Fonds Kyoto </w:t>
      </w:r>
      <w:r>
        <w:rPr>
          <w:rFonts w:ascii="Verdana" w:hAnsi="Verdana" w:cs="Verdana"/>
          <w:sz w:val="20"/>
          <w:szCs w:val="20"/>
          <w:lang w:val="fr-BE"/>
        </w:rPr>
        <w:t xml:space="preserve">d’un montant maximal de 6 millions d’Euros </w:t>
      </w:r>
      <w:r w:rsidR="00236D4C">
        <w:rPr>
          <w:rFonts w:ascii="Verdana" w:hAnsi="Verdana" w:cs="Verdana"/>
          <w:sz w:val="20"/>
          <w:szCs w:val="20"/>
          <w:lang w:val="fr-BE"/>
        </w:rPr>
        <w:t xml:space="preserve">par projet </w:t>
      </w:r>
      <w:r>
        <w:rPr>
          <w:rFonts w:ascii="Verdana" w:hAnsi="Verdana" w:cs="Verdana"/>
          <w:sz w:val="20"/>
          <w:szCs w:val="20"/>
          <w:lang w:val="fr-BE"/>
        </w:rPr>
        <w:t>permettant de couvrir un maximum de 100% des coûts éligibles. Le montant avancé devra être remboursé en 10 ans avec un taux d’intérêt annuel de 0%. Le remboursement sera linéaire (montant annuel fixe) et sera d</w:t>
      </w:r>
      <w:r w:rsidR="00236D4C">
        <w:rPr>
          <w:rFonts w:ascii="Verdana" w:hAnsi="Verdana" w:cs="Verdana"/>
          <w:sz w:val="20"/>
          <w:szCs w:val="20"/>
          <w:lang w:val="fr-BE"/>
        </w:rPr>
        <w:t>û</w:t>
      </w:r>
      <w:r>
        <w:rPr>
          <w:rFonts w:ascii="Verdana" w:hAnsi="Verdana" w:cs="Verdana"/>
          <w:sz w:val="20"/>
          <w:szCs w:val="20"/>
          <w:lang w:val="fr-BE"/>
        </w:rPr>
        <w:t xml:space="preserve"> à compter de la fin de la première année d’exploitation. L’arrêté de soutien fixera la durée définitive du remboursement et le montant des annuités. </w:t>
      </w:r>
    </w:p>
    <w:p w:rsidR="00D96C34" w:rsidRDefault="00D96C34" w:rsidP="00D96C34">
      <w:pPr>
        <w:jc w:val="both"/>
        <w:rPr>
          <w:rFonts w:ascii="Verdana" w:hAnsi="Verdana" w:cs="Verdana"/>
          <w:sz w:val="20"/>
          <w:szCs w:val="20"/>
          <w:lang w:val="fr-BE"/>
        </w:rPr>
      </w:pPr>
    </w:p>
    <w:p w:rsidR="00D96C34" w:rsidRPr="00027367" w:rsidRDefault="00D96C34" w:rsidP="00D96C34">
      <w:pPr>
        <w:jc w:val="both"/>
        <w:rPr>
          <w:rFonts w:ascii="Verdana" w:hAnsi="Verdana" w:cs="Verdana"/>
          <w:sz w:val="20"/>
          <w:szCs w:val="20"/>
          <w:lang w:val="fr-BE"/>
        </w:rPr>
      </w:pPr>
      <w:r>
        <w:rPr>
          <w:rFonts w:ascii="Verdana" w:hAnsi="Verdana" w:cs="Verdana"/>
          <w:sz w:val="20"/>
          <w:szCs w:val="20"/>
          <w:lang w:val="fr-BE"/>
        </w:rPr>
        <w:t xml:space="preserve">Dans </w:t>
      </w:r>
      <w:r w:rsidR="00027367">
        <w:rPr>
          <w:rFonts w:ascii="Verdana" w:hAnsi="Verdana" w:cs="Verdana"/>
          <w:sz w:val="20"/>
          <w:szCs w:val="20"/>
          <w:lang w:val="fr-BE"/>
        </w:rPr>
        <w:t>le</w:t>
      </w:r>
      <w:r>
        <w:rPr>
          <w:rFonts w:ascii="Verdana" w:hAnsi="Verdana" w:cs="Verdana"/>
          <w:sz w:val="20"/>
          <w:szCs w:val="20"/>
          <w:lang w:val="fr-BE"/>
        </w:rPr>
        <w:t xml:space="preserve"> dossier</w:t>
      </w:r>
      <w:r w:rsidR="00027367">
        <w:rPr>
          <w:rFonts w:ascii="Verdana" w:hAnsi="Verdana" w:cs="Verdana"/>
          <w:sz w:val="20"/>
          <w:szCs w:val="20"/>
          <w:lang w:val="fr-BE"/>
        </w:rPr>
        <w:t xml:space="preserve"> de candidature, le </w:t>
      </w:r>
      <w:r w:rsidR="00D149F2">
        <w:rPr>
          <w:rFonts w:ascii="Verdana" w:hAnsi="Verdana" w:cs="Verdana"/>
          <w:sz w:val="20"/>
          <w:szCs w:val="20"/>
          <w:lang w:val="fr-BE"/>
        </w:rPr>
        <w:t xml:space="preserve">promoteur </w:t>
      </w:r>
      <w:r w:rsidR="00027367">
        <w:rPr>
          <w:rFonts w:ascii="Verdana" w:hAnsi="Verdana" w:cs="Verdana"/>
          <w:sz w:val="20"/>
          <w:szCs w:val="20"/>
          <w:lang w:val="fr-BE"/>
        </w:rPr>
        <w:t>bénéficiera directement du prêt</w:t>
      </w:r>
      <w:r w:rsidR="00236D4C">
        <w:rPr>
          <w:rFonts w:ascii="Verdana" w:hAnsi="Verdana" w:cs="Verdana"/>
          <w:sz w:val="20"/>
          <w:szCs w:val="20"/>
          <w:lang w:val="fr-BE"/>
        </w:rPr>
        <w:t xml:space="preserve"> (2019)</w:t>
      </w:r>
      <w:r w:rsidR="00027367">
        <w:rPr>
          <w:rFonts w:ascii="Verdana" w:hAnsi="Verdana" w:cs="Verdana"/>
          <w:sz w:val="20"/>
          <w:szCs w:val="20"/>
          <w:lang w:val="fr-BE"/>
        </w:rPr>
        <w:t xml:space="preserve">. Des stipulations particulières relatives au mécanisme de prêt peuvent être appliquées. Tout partenaire du projet susceptible de bénéficier du prêt en tout ou en partie doit fournir </w:t>
      </w:r>
      <w:r w:rsidR="00027367">
        <w:rPr>
          <w:rFonts w:ascii="Verdana" w:hAnsi="Verdana" w:cs="Verdana"/>
          <w:sz w:val="20"/>
          <w:szCs w:val="20"/>
          <w:u w:val="single"/>
          <w:lang w:val="fr-BE"/>
        </w:rPr>
        <w:t>à peine de nullité de l’offre</w:t>
      </w:r>
      <w:r w:rsidR="00027367">
        <w:rPr>
          <w:rFonts w:ascii="Verdana" w:hAnsi="Verdana" w:cs="Verdana"/>
          <w:sz w:val="20"/>
          <w:szCs w:val="20"/>
          <w:lang w:val="fr-BE"/>
        </w:rPr>
        <w:t xml:space="preserve"> les informations suivantes :</w:t>
      </w:r>
    </w:p>
    <w:p w:rsidR="00D96C34" w:rsidRDefault="00D96C34" w:rsidP="00D96C34">
      <w:pPr>
        <w:ind w:left="708"/>
        <w:jc w:val="both"/>
        <w:rPr>
          <w:rFonts w:ascii="Verdana" w:hAnsi="Verdana" w:cs="Verdana"/>
          <w:sz w:val="20"/>
          <w:szCs w:val="20"/>
          <w:lang w:val="fr-BE"/>
        </w:rPr>
      </w:pPr>
    </w:p>
    <w:p w:rsidR="00D96C34" w:rsidRDefault="00D96C34" w:rsidP="00D96C34">
      <w:pPr>
        <w:numPr>
          <w:ilvl w:val="0"/>
          <w:numId w:val="1"/>
        </w:numPr>
        <w:jc w:val="both"/>
        <w:rPr>
          <w:rFonts w:ascii="Verdana" w:hAnsi="Verdana"/>
          <w:sz w:val="20"/>
          <w:szCs w:val="20"/>
        </w:rPr>
      </w:pPr>
      <w:r>
        <w:rPr>
          <w:rFonts w:ascii="Verdana" w:hAnsi="Verdana"/>
          <w:sz w:val="20"/>
          <w:szCs w:val="20"/>
        </w:rPr>
        <w:t>Les comptes consolidés de l’année 2017 et provisoires (ou définitifs si disponibles) de 2018 ;</w:t>
      </w:r>
    </w:p>
    <w:p w:rsidR="00D96C34" w:rsidRDefault="00D96C34" w:rsidP="00D96C34">
      <w:pPr>
        <w:numPr>
          <w:ilvl w:val="0"/>
          <w:numId w:val="1"/>
        </w:numPr>
        <w:jc w:val="both"/>
        <w:rPr>
          <w:rFonts w:ascii="Verdana" w:hAnsi="Verdana"/>
          <w:sz w:val="20"/>
          <w:szCs w:val="20"/>
        </w:rPr>
      </w:pPr>
      <w:r>
        <w:rPr>
          <w:rFonts w:ascii="Verdana" w:hAnsi="Verdana"/>
          <w:sz w:val="20"/>
          <w:szCs w:val="20"/>
        </w:rPr>
        <w:t xml:space="preserve">Un plan d’affaire du </w:t>
      </w:r>
      <w:r w:rsidR="00D149F2">
        <w:rPr>
          <w:rFonts w:ascii="Verdana" w:hAnsi="Verdana"/>
          <w:sz w:val="20"/>
          <w:szCs w:val="20"/>
        </w:rPr>
        <w:t xml:space="preserve">soumissionnaire </w:t>
      </w:r>
      <w:r>
        <w:rPr>
          <w:rFonts w:ascii="Verdana" w:hAnsi="Verdana"/>
          <w:sz w:val="20"/>
          <w:szCs w:val="20"/>
        </w:rPr>
        <w:t>sur les trois prochaines années (2019, 2020 et 2021) validés par le réviseur aux comptes de la société ou par toute société d’audit légalement habilitée à le valider.</w:t>
      </w:r>
    </w:p>
    <w:p w:rsidR="00027367" w:rsidRDefault="00027367" w:rsidP="00027367">
      <w:pPr>
        <w:jc w:val="both"/>
        <w:rPr>
          <w:rFonts w:ascii="Verdana" w:hAnsi="Verdana"/>
          <w:sz w:val="20"/>
          <w:szCs w:val="20"/>
        </w:rPr>
      </w:pPr>
    </w:p>
    <w:p w:rsidR="00027367" w:rsidRDefault="00027367" w:rsidP="00027367">
      <w:pPr>
        <w:jc w:val="both"/>
        <w:rPr>
          <w:rFonts w:ascii="Verdana" w:hAnsi="Verdana"/>
          <w:sz w:val="20"/>
          <w:szCs w:val="20"/>
        </w:rPr>
      </w:pPr>
      <w:r>
        <w:rPr>
          <w:rFonts w:ascii="Verdana" w:hAnsi="Verdana"/>
          <w:sz w:val="20"/>
          <w:szCs w:val="20"/>
        </w:rPr>
        <w:lastRenderedPageBreak/>
        <w:t>Le(s) bénéficiaire(s) du prêt doit prouver sa capacité de remboursement du prêt. De ce fait, l’appel n’est ouvert qu’aux grandes ou aux moyennes entreprises.</w:t>
      </w:r>
    </w:p>
    <w:p w:rsidR="000D252A" w:rsidRDefault="000D252A" w:rsidP="00027367">
      <w:pPr>
        <w:jc w:val="both"/>
        <w:rPr>
          <w:rFonts w:ascii="Verdana" w:hAnsi="Verdana"/>
          <w:sz w:val="20"/>
          <w:szCs w:val="20"/>
        </w:rPr>
      </w:pPr>
    </w:p>
    <w:p w:rsidR="000D252A" w:rsidRDefault="00927714" w:rsidP="000D252A">
      <w:pPr>
        <w:pStyle w:val="Paragraphedeliste"/>
        <w:numPr>
          <w:ilvl w:val="0"/>
          <w:numId w:val="17"/>
        </w:numPr>
        <w:jc w:val="both"/>
        <w:rPr>
          <w:rFonts w:ascii="Verdana" w:hAnsi="Verdana"/>
          <w:sz w:val="20"/>
          <w:szCs w:val="20"/>
        </w:rPr>
      </w:pPr>
      <w:r>
        <w:rPr>
          <w:rFonts w:ascii="Verdana" w:hAnsi="Verdana"/>
          <w:sz w:val="20"/>
          <w:szCs w:val="20"/>
        </w:rPr>
        <w:t xml:space="preserve">Une </w:t>
      </w:r>
      <w:r w:rsidR="00236D4C">
        <w:rPr>
          <w:rFonts w:ascii="Verdana" w:hAnsi="Verdana"/>
          <w:sz w:val="20"/>
          <w:szCs w:val="20"/>
        </w:rPr>
        <w:t>subvention qui couvre exactement le surcoût de production de l’hydrogène tel que défini au point 7</w:t>
      </w:r>
      <w:r w:rsidR="000D252A">
        <w:rPr>
          <w:rFonts w:ascii="Verdana" w:hAnsi="Verdana"/>
          <w:sz w:val="20"/>
          <w:szCs w:val="20"/>
        </w:rPr>
        <w:t xml:space="preserve">. </w:t>
      </w:r>
      <w:r w:rsidR="00236D4C" w:rsidRPr="009F6BD9">
        <w:rPr>
          <w:rFonts w:ascii="Verdana" w:hAnsi="Verdana"/>
          <w:sz w:val="20"/>
          <w:szCs w:val="20"/>
        </w:rPr>
        <w:t xml:space="preserve">Cette subvention sera octroyée à partir de 2020 et pourra être étalée jusqu’à 2024. </w:t>
      </w:r>
    </w:p>
    <w:p w:rsidR="00B578A8" w:rsidRDefault="00B578A8" w:rsidP="00B578A8">
      <w:pPr>
        <w:jc w:val="both"/>
        <w:rPr>
          <w:rFonts w:ascii="Verdana" w:hAnsi="Verdana"/>
          <w:sz w:val="20"/>
          <w:szCs w:val="20"/>
        </w:rPr>
      </w:pPr>
    </w:p>
    <w:p w:rsidR="00B578A8" w:rsidRDefault="00B578A8" w:rsidP="00B578A8">
      <w:pPr>
        <w:ind w:left="708"/>
        <w:jc w:val="both"/>
        <w:rPr>
          <w:rFonts w:ascii="Verdana" w:hAnsi="Verdana"/>
          <w:sz w:val="20"/>
          <w:szCs w:val="20"/>
        </w:rPr>
      </w:pPr>
      <w:r>
        <w:rPr>
          <w:rFonts w:ascii="Verdana" w:hAnsi="Verdana"/>
          <w:sz w:val="20"/>
          <w:szCs w:val="20"/>
        </w:rPr>
        <w:t xml:space="preserve">Conformément au point </w:t>
      </w:r>
      <w:r w:rsidR="00236D4C">
        <w:rPr>
          <w:rFonts w:ascii="Verdana" w:hAnsi="Verdana"/>
          <w:sz w:val="20"/>
          <w:szCs w:val="20"/>
        </w:rPr>
        <w:t>7</w:t>
      </w:r>
      <w:r>
        <w:rPr>
          <w:rFonts w:ascii="Verdana" w:hAnsi="Verdana"/>
          <w:sz w:val="20"/>
          <w:szCs w:val="20"/>
        </w:rPr>
        <w:t xml:space="preserve"> du paragraphe précédent, l’opérateur de l’unité de fourniture d’hydrogène devra déterminer les consommations mensuelles en hydrogène, les consommations équivalentes en diesel, le coût de fourniture de l’hydrogène, le coût du diesel. </w:t>
      </w:r>
    </w:p>
    <w:p w:rsidR="00B578A8" w:rsidRDefault="00B578A8" w:rsidP="00B578A8">
      <w:pPr>
        <w:ind w:left="708"/>
        <w:jc w:val="both"/>
        <w:rPr>
          <w:rFonts w:ascii="Verdana" w:hAnsi="Verdana"/>
          <w:sz w:val="20"/>
          <w:szCs w:val="20"/>
        </w:rPr>
      </w:pPr>
    </w:p>
    <w:p w:rsidR="00B578A8" w:rsidRDefault="00B578A8" w:rsidP="00B578A8">
      <w:pPr>
        <w:ind w:left="708"/>
        <w:jc w:val="both"/>
        <w:rPr>
          <w:rFonts w:ascii="Verdana" w:hAnsi="Verdana"/>
          <w:sz w:val="20"/>
          <w:szCs w:val="20"/>
        </w:rPr>
      </w:pPr>
      <w:r>
        <w:rPr>
          <w:rFonts w:ascii="Verdana" w:hAnsi="Verdana"/>
          <w:sz w:val="20"/>
          <w:szCs w:val="20"/>
        </w:rPr>
        <w:t xml:space="preserve">Le montant de </w:t>
      </w:r>
      <w:r w:rsidR="00D149F2">
        <w:rPr>
          <w:rFonts w:ascii="Verdana" w:hAnsi="Verdana"/>
          <w:sz w:val="20"/>
          <w:szCs w:val="20"/>
        </w:rPr>
        <w:t>la subvention devra être dûment justifié.</w:t>
      </w:r>
    </w:p>
    <w:p w:rsidR="00927714" w:rsidRDefault="00927714" w:rsidP="00B578A8">
      <w:pPr>
        <w:ind w:left="708"/>
        <w:jc w:val="both"/>
        <w:rPr>
          <w:rFonts w:ascii="Verdana" w:hAnsi="Verdana"/>
          <w:sz w:val="20"/>
          <w:szCs w:val="20"/>
        </w:rPr>
      </w:pPr>
    </w:p>
    <w:p w:rsidR="009677CE" w:rsidRDefault="009677CE" w:rsidP="00B578A8">
      <w:pPr>
        <w:ind w:left="708"/>
        <w:jc w:val="both"/>
        <w:rPr>
          <w:rFonts w:ascii="Verdana" w:hAnsi="Verdana"/>
          <w:sz w:val="20"/>
          <w:szCs w:val="20"/>
        </w:rPr>
      </w:pPr>
    </w:p>
    <w:p w:rsidR="009677CE" w:rsidRPr="009677CE" w:rsidRDefault="009677CE" w:rsidP="00B578A8">
      <w:pPr>
        <w:ind w:left="708"/>
        <w:jc w:val="both"/>
        <w:rPr>
          <w:rFonts w:ascii="Verdana" w:hAnsi="Verdana"/>
          <w:b/>
          <w:sz w:val="20"/>
          <w:szCs w:val="20"/>
        </w:rPr>
      </w:pPr>
      <w:r>
        <w:rPr>
          <w:rFonts w:ascii="Verdana" w:hAnsi="Verdana"/>
          <w:b/>
          <w:sz w:val="20"/>
          <w:szCs w:val="20"/>
        </w:rPr>
        <w:t>Attention : ce mécanisme de compensation devra faire l’objet d’une notification préliminaire auprès de la Commission européenne au sens des Aides d’Etat.</w:t>
      </w:r>
    </w:p>
    <w:p w:rsidR="00D96C34" w:rsidRPr="00D96C34" w:rsidRDefault="00D96C34" w:rsidP="00D96C34">
      <w:pPr>
        <w:ind w:left="708"/>
        <w:jc w:val="both"/>
        <w:rPr>
          <w:rFonts w:ascii="Verdana" w:hAnsi="Verdana" w:cs="Verdana"/>
          <w:sz w:val="20"/>
          <w:szCs w:val="20"/>
          <w:lang w:val="fr-BE"/>
        </w:rPr>
      </w:pPr>
    </w:p>
    <w:p w:rsidR="004A5847" w:rsidRDefault="004A5847" w:rsidP="004A5847">
      <w:pPr>
        <w:pStyle w:val="Paragraphedeliste"/>
        <w:ind w:left="0"/>
        <w:jc w:val="both"/>
        <w:rPr>
          <w:rFonts w:ascii="Verdana" w:hAnsi="Verdana" w:cs="Verdana"/>
          <w:sz w:val="20"/>
          <w:szCs w:val="20"/>
        </w:rPr>
      </w:pPr>
    </w:p>
    <w:p w:rsidR="004A5847" w:rsidRDefault="004A5847" w:rsidP="004A5847">
      <w:pPr>
        <w:jc w:val="both"/>
        <w:rPr>
          <w:rFonts w:ascii="Verdana" w:hAnsi="Verdana"/>
          <w:b/>
          <w:sz w:val="20"/>
          <w:szCs w:val="20"/>
          <w:u w:val="single"/>
        </w:rPr>
      </w:pPr>
      <w:r>
        <w:rPr>
          <w:rFonts w:ascii="Verdana" w:hAnsi="Verdana"/>
          <w:b/>
          <w:sz w:val="20"/>
          <w:szCs w:val="20"/>
          <w:u w:val="single"/>
        </w:rPr>
        <w:t>Procédure de dépôt des offres</w:t>
      </w:r>
    </w:p>
    <w:p w:rsidR="004A5847" w:rsidRDefault="004A5847" w:rsidP="004A5847">
      <w:pPr>
        <w:ind w:left="720"/>
        <w:jc w:val="both"/>
        <w:rPr>
          <w:rFonts w:ascii="Verdana" w:hAnsi="Verdana"/>
          <w:b/>
          <w:sz w:val="20"/>
          <w:szCs w:val="20"/>
          <w:u w:val="single"/>
        </w:rPr>
      </w:pPr>
    </w:p>
    <w:p w:rsidR="004A5847" w:rsidRDefault="004A5847" w:rsidP="007F0463">
      <w:pPr>
        <w:autoSpaceDE w:val="0"/>
        <w:autoSpaceDN w:val="0"/>
        <w:adjustRightInd w:val="0"/>
        <w:spacing w:after="120" w:line="276" w:lineRule="auto"/>
        <w:jc w:val="both"/>
        <w:rPr>
          <w:rFonts w:ascii="Verdana" w:hAnsi="Verdana"/>
          <w:sz w:val="20"/>
          <w:szCs w:val="20"/>
        </w:rPr>
      </w:pPr>
      <w:r w:rsidRPr="0095407E">
        <w:rPr>
          <w:rFonts w:ascii="Verdana" w:hAnsi="Verdana"/>
          <w:sz w:val="20"/>
          <w:szCs w:val="20"/>
        </w:rPr>
        <w:t xml:space="preserve">La date de dépôt est fixée au </w:t>
      </w:r>
      <w:r w:rsidR="00C20BC5">
        <w:rPr>
          <w:rFonts w:ascii="Verdana" w:hAnsi="Verdana"/>
          <w:b/>
          <w:sz w:val="20"/>
          <w:szCs w:val="20"/>
        </w:rPr>
        <w:t xml:space="preserve">24 </w:t>
      </w:r>
      <w:r>
        <w:rPr>
          <w:rFonts w:ascii="Verdana" w:hAnsi="Verdana"/>
          <w:b/>
          <w:sz w:val="20"/>
          <w:szCs w:val="20"/>
        </w:rPr>
        <w:t>juin</w:t>
      </w:r>
      <w:r w:rsidRPr="0095407E">
        <w:rPr>
          <w:rFonts w:ascii="Verdana" w:hAnsi="Verdana"/>
          <w:b/>
          <w:sz w:val="20"/>
          <w:szCs w:val="20"/>
        </w:rPr>
        <w:t xml:space="preserve"> 2019</w:t>
      </w:r>
      <w:r w:rsidRPr="0095407E">
        <w:rPr>
          <w:rFonts w:ascii="Verdana" w:hAnsi="Verdana"/>
          <w:sz w:val="20"/>
          <w:szCs w:val="20"/>
        </w:rPr>
        <w:t>.</w:t>
      </w:r>
    </w:p>
    <w:p w:rsidR="004A5847" w:rsidRDefault="004A5847" w:rsidP="004A5847">
      <w:pPr>
        <w:jc w:val="both"/>
        <w:rPr>
          <w:rFonts w:ascii="Verdana" w:hAnsi="Verdana"/>
          <w:b/>
          <w:sz w:val="20"/>
          <w:szCs w:val="20"/>
          <w:u w:val="single"/>
        </w:rPr>
      </w:pPr>
      <w:r>
        <w:rPr>
          <w:rFonts w:ascii="Verdana" w:hAnsi="Verdana"/>
          <w:b/>
          <w:sz w:val="20"/>
          <w:szCs w:val="20"/>
          <w:u w:val="single"/>
        </w:rPr>
        <w:t>Documents requis au dépôt définitif des offres</w:t>
      </w:r>
    </w:p>
    <w:p w:rsidR="004A5847" w:rsidRDefault="004A5847" w:rsidP="004A5847">
      <w:pPr>
        <w:jc w:val="both"/>
        <w:rPr>
          <w:rFonts w:ascii="Verdana" w:hAnsi="Verdana"/>
          <w:b/>
          <w:sz w:val="20"/>
          <w:szCs w:val="20"/>
          <w:u w:val="single"/>
        </w:rPr>
      </w:pPr>
    </w:p>
    <w:p w:rsidR="004A5847" w:rsidRDefault="004A5847" w:rsidP="004A5847">
      <w:pPr>
        <w:jc w:val="both"/>
        <w:rPr>
          <w:rFonts w:ascii="Verdana" w:hAnsi="Verdana"/>
          <w:sz w:val="20"/>
          <w:szCs w:val="20"/>
        </w:rPr>
      </w:pPr>
      <w:r w:rsidRPr="005753D8">
        <w:rPr>
          <w:rFonts w:ascii="Verdana" w:hAnsi="Verdana"/>
          <w:b/>
          <w:sz w:val="20"/>
          <w:szCs w:val="20"/>
        </w:rPr>
        <w:t>A pein</w:t>
      </w:r>
      <w:r>
        <w:rPr>
          <w:rFonts w:ascii="Verdana" w:hAnsi="Verdana"/>
          <w:b/>
          <w:sz w:val="20"/>
          <w:szCs w:val="20"/>
        </w:rPr>
        <w:t>e de nullité absolue de l’offre</w:t>
      </w:r>
      <w:r>
        <w:rPr>
          <w:rFonts w:ascii="Verdana" w:hAnsi="Verdana"/>
          <w:sz w:val="20"/>
          <w:szCs w:val="20"/>
        </w:rPr>
        <w:t>, les soumissionnaires devront remettre, joints au formulaire définitif, les documents suivants :</w:t>
      </w:r>
    </w:p>
    <w:p w:rsidR="004A5847" w:rsidRDefault="004A5847" w:rsidP="004A5847">
      <w:pPr>
        <w:jc w:val="both"/>
        <w:rPr>
          <w:rFonts w:ascii="Verdana" w:hAnsi="Verdana"/>
          <w:sz w:val="20"/>
          <w:szCs w:val="20"/>
        </w:rPr>
      </w:pPr>
    </w:p>
    <w:p w:rsidR="004A5847" w:rsidRDefault="004A5847" w:rsidP="004A5847">
      <w:pPr>
        <w:numPr>
          <w:ilvl w:val="0"/>
          <w:numId w:val="1"/>
        </w:numPr>
        <w:jc w:val="both"/>
        <w:rPr>
          <w:rFonts w:ascii="Verdana" w:hAnsi="Verdana"/>
          <w:sz w:val="20"/>
          <w:szCs w:val="20"/>
        </w:rPr>
      </w:pPr>
      <w:r>
        <w:rPr>
          <w:rFonts w:ascii="Verdana" w:hAnsi="Verdana"/>
          <w:sz w:val="20"/>
          <w:szCs w:val="20"/>
        </w:rPr>
        <w:t>Les comptes consolidés de l’année 2017 et provisoires (ou définitifs si disponibles) de 2018 ;</w:t>
      </w:r>
    </w:p>
    <w:p w:rsidR="004A5847" w:rsidRDefault="004A5847" w:rsidP="004A5847">
      <w:pPr>
        <w:numPr>
          <w:ilvl w:val="0"/>
          <w:numId w:val="1"/>
        </w:numPr>
        <w:jc w:val="both"/>
        <w:rPr>
          <w:rFonts w:ascii="Verdana" w:hAnsi="Verdana"/>
          <w:sz w:val="20"/>
          <w:szCs w:val="20"/>
        </w:rPr>
      </w:pPr>
      <w:r>
        <w:rPr>
          <w:rFonts w:ascii="Verdana" w:hAnsi="Verdana"/>
          <w:sz w:val="20"/>
          <w:szCs w:val="20"/>
        </w:rPr>
        <w:t xml:space="preserve">Un plan d’affaire du </w:t>
      </w:r>
      <w:r w:rsidR="00D149F2">
        <w:rPr>
          <w:rFonts w:ascii="Verdana" w:hAnsi="Verdana"/>
          <w:sz w:val="20"/>
          <w:szCs w:val="20"/>
        </w:rPr>
        <w:t xml:space="preserve">soumissionnaire </w:t>
      </w:r>
      <w:r>
        <w:rPr>
          <w:rFonts w:ascii="Verdana" w:hAnsi="Verdana"/>
          <w:sz w:val="20"/>
          <w:szCs w:val="20"/>
        </w:rPr>
        <w:t xml:space="preserve">sur </w:t>
      </w:r>
      <w:r w:rsidR="00C91851">
        <w:rPr>
          <w:rFonts w:ascii="Verdana" w:hAnsi="Verdana"/>
          <w:sz w:val="20"/>
          <w:szCs w:val="20"/>
        </w:rPr>
        <w:t>la durée de vie du projet</w:t>
      </w:r>
      <w:r>
        <w:rPr>
          <w:rFonts w:ascii="Verdana" w:hAnsi="Verdana"/>
          <w:sz w:val="20"/>
          <w:szCs w:val="20"/>
        </w:rPr>
        <w:t xml:space="preserve"> validés par le réviseur aux comptes de la société ou par toute société d’audit légalement habilitée à le valider.</w:t>
      </w:r>
    </w:p>
    <w:p w:rsidR="004A5847" w:rsidRDefault="004A5847" w:rsidP="004A5847">
      <w:pPr>
        <w:jc w:val="both"/>
        <w:rPr>
          <w:rFonts w:ascii="Verdana" w:hAnsi="Verdana"/>
          <w:sz w:val="20"/>
          <w:szCs w:val="20"/>
        </w:rPr>
      </w:pPr>
    </w:p>
    <w:p w:rsidR="004A5847" w:rsidRDefault="004A5847" w:rsidP="004A5847">
      <w:pPr>
        <w:jc w:val="both"/>
        <w:rPr>
          <w:rFonts w:ascii="Verdana" w:hAnsi="Verdana"/>
          <w:sz w:val="20"/>
          <w:szCs w:val="20"/>
        </w:rPr>
      </w:pPr>
      <w:r>
        <w:rPr>
          <w:rFonts w:ascii="Verdana" w:hAnsi="Verdana"/>
          <w:sz w:val="20"/>
          <w:szCs w:val="20"/>
        </w:rPr>
        <w:t>Ces documents permettront de déterminer si l’avance récupérable proposée pourra effectivement être remboursée par le soumissionnaire. En cas d’approbation du projet, des conditions spécifiques directement liées à la situation du soumissionnaire pourront être requises.</w:t>
      </w:r>
    </w:p>
    <w:p w:rsidR="004A5847" w:rsidRDefault="004A5847" w:rsidP="004A5847">
      <w:pPr>
        <w:jc w:val="both"/>
        <w:rPr>
          <w:rFonts w:ascii="Verdana" w:hAnsi="Verdana"/>
          <w:sz w:val="20"/>
          <w:szCs w:val="20"/>
        </w:rPr>
      </w:pPr>
    </w:p>
    <w:p w:rsidR="004A5847" w:rsidRPr="00C43747" w:rsidRDefault="004A5847" w:rsidP="004A5847">
      <w:pPr>
        <w:pStyle w:val="Paragraphedeliste"/>
        <w:ind w:left="0"/>
        <w:contextualSpacing/>
        <w:jc w:val="both"/>
        <w:rPr>
          <w:rFonts w:ascii="Verdana" w:hAnsi="Verdana"/>
          <w:b/>
          <w:sz w:val="20"/>
          <w:szCs w:val="20"/>
          <w:u w:val="single"/>
          <w:lang w:val="fr-BE"/>
        </w:rPr>
      </w:pPr>
      <w:r w:rsidRPr="00C43747">
        <w:rPr>
          <w:rFonts w:ascii="Verdana" w:hAnsi="Verdana"/>
          <w:b/>
          <w:sz w:val="20"/>
          <w:szCs w:val="20"/>
          <w:u w:val="single"/>
          <w:lang w:val="fr-BE"/>
        </w:rPr>
        <w:t>Processus de sélection</w:t>
      </w:r>
    </w:p>
    <w:p w:rsidR="004A5847" w:rsidRPr="009A7969" w:rsidRDefault="004A5847" w:rsidP="004A5847">
      <w:pPr>
        <w:pStyle w:val="Paragraphedeliste"/>
        <w:ind w:left="0"/>
        <w:contextualSpacing/>
        <w:jc w:val="both"/>
        <w:rPr>
          <w:rFonts w:ascii="Verdana" w:hAnsi="Verdana"/>
          <w:sz w:val="20"/>
          <w:szCs w:val="20"/>
          <w:lang w:val="fr-BE"/>
        </w:rPr>
      </w:pPr>
    </w:p>
    <w:p w:rsidR="004A5847" w:rsidRPr="00351951" w:rsidRDefault="00AB0D4B" w:rsidP="009F6BD9">
      <w:pPr>
        <w:jc w:val="both"/>
        <w:rPr>
          <w:rFonts w:ascii="Verdana" w:hAnsi="Verdana" w:cs="Verdana"/>
          <w:sz w:val="20"/>
          <w:szCs w:val="20"/>
          <w:lang w:val="fr-BE"/>
        </w:rPr>
      </w:pPr>
      <w:r w:rsidRPr="00351951">
        <w:rPr>
          <w:rFonts w:ascii="Verdana" w:hAnsi="Verdana" w:cs="Verdana"/>
          <w:sz w:val="20"/>
          <w:szCs w:val="20"/>
          <w:lang w:val="fr-BE"/>
        </w:rPr>
        <w:t xml:space="preserve">Conformément à sa décision du </w:t>
      </w:r>
      <w:r w:rsidR="0061238F" w:rsidRPr="00351951">
        <w:rPr>
          <w:rFonts w:ascii="Verdana" w:hAnsi="Verdana" w:cs="Verdana"/>
          <w:sz w:val="20"/>
          <w:szCs w:val="20"/>
          <w:lang w:val="fr-BE"/>
        </w:rPr>
        <w:t>9</w:t>
      </w:r>
      <w:r w:rsidRPr="00351951">
        <w:rPr>
          <w:rFonts w:ascii="Verdana" w:hAnsi="Verdana" w:cs="Verdana"/>
          <w:sz w:val="20"/>
          <w:szCs w:val="20"/>
          <w:lang w:val="fr-BE"/>
        </w:rPr>
        <w:t>/5/19, le Gouvernement a chargé</w:t>
      </w:r>
    </w:p>
    <w:p w:rsidR="00AB0D4B" w:rsidRPr="00351951" w:rsidRDefault="00AB0D4B" w:rsidP="00AB0D4B">
      <w:pPr>
        <w:numPr>
          <w:ilvl w:val="0"/>
          <w:numId w:val="22"/>
        </w:numPr>
        <w:shd w:val="clear" w:color="auto" w:fill="FFFFFF"/>
        <w:ind w:left="595" w:hanging="357"/>
        <w:jc w:val="both"/>
        <w:rPr>
          <w:rFonts w:ascii="Verdana" w:hAnsi="Verdana"/>
          <w:color w:val="000000"/>
          <w:sz w:val="20"/>
          <w:szCs w:val="20"/>
        </w:rPr>
      </w:pPr>
      <w:r w:rsidRPr="00351951">
        <w:rPr>
          <w:rFonts w:ascii="Verdana" w:hAnsi="Verdana"/>
          <w:sz w:val="20"/>
          <w:szCs w:val="20"/>
        </w:rPr>
        <w:t xml:space="preserve">Le </w:t>
      </w:r>
      <w:hyperlink r:id="rId9" w:history="1">
        <w:r w:rsidRPr="00351951">
          <w:rPr>
            <w:rFonts w:ascii="Verdana" w:hAnsi="Verdana"/>
            <w:sz w:val="20"/>
            <w:szCs w:val="20"/>
          </w:rPr>
          <w:t>SPW Territoire, Logement, Patrimoine, Énergie</w:t>
        </w:r>
      </w:hyperlink>
      <w:r w:rsidRPr="00351951">
        <w:rPr>
          <w:rFonts w:ascii="Verdana" w:hAnsi="Verdana"/>
          <w:sz w:val="20"/>
          <w:szCs w:val="20"/>
        </w:rPr>
        <w:t xml:space="preserve"> de lancer l’appel à candidat en collaboration avec le SPW Mobilité et Infrastructures </w:t>
      </w:r>
    </w:p>
    <w:p w:rsidR="00AB0D4B" w:rsidRPr="00351951" w:rsidRDefault="00AB0D4B" w:rsidP="00AB0D4B">
      <w:pPr>
        <w:numPr>
          <w:ilvl w:val="0"/>
          <w:numId w:val="22"/>
        </w:numPr>
        <w:shd w:val="clear" w:color="auto" w:fill="FFFFFF"/>
        <w:ind w:left="595" w:hanging="357"/>
        <w:jc w:val="both"/>
        <w:rPr>
          <w:rFonts w:ascii="Verdana" w:hAnsi="Verdana"/>
          <w:color w:val="000000"/>
          <w:sz w:val="20"/>
          <w:szCs w:val="20"/>
        </w:rPr>
      </w:pPr>
      <w:r w:rsidRPr="00351951">
        <w:rPr>
          <w:rFonts w:ascii="Verdana" w:hAnsi="Verdana"/>
          <w:sz w:val="20"/>
          <w:szCs w:val="20"/>
        </w:rPr>
        <w:t>le Ministre de l’Energie et le Ministre de la Mobilité et des Transports de lui soumettre pour approbation les candidats retenus en vue de l’octroi des subventions</w:t>
      </w:r>
    </w:p>
    <w:p w:rsidR="00AB0D4B" w:rsidRPr="009F6BD9" w:rsidRDefault="00AB0D4B" w:rsidP="004A5847">
      <w:pPr>
        <w:pStyle w:val="Paragraphedeliste"/>
        <w:ind w:left="0"/>
        <w:jc w:val="both"/>
        <w:rPr>
          <w:rFonts w:ascii="Verdana" w:hAnsi="Verdana" w:cs="Verdana"/>
          <w:sz w:val="20"/>
          <w:szCs w:val="20"/>
        </w:rPr>
      </w:pPr>
      <w:bookmarkStart w:id="0" w:name="_GoBack"/>
      <w:bookmarkEnd w:id="0"/>
    </w:p>
    <w:p w:rsidR="00AB0D4B" w:rsidRDefault="00AB0D4B" w:rsidP="004A5847">
      <w:pPr>
        <w:pStyle w:val="Paragraphedeliste"/>
        <w:ind w:left="0"/>
        <w:jc w:val="both"/>
        <w:rPr>
          <w:rFonts w:ascii="Verdana" w:hAnsi="Verdana" w:cs="Verdana"/>
          <w:sz w:val="20"/>
          <w:szCs w:val="20"/>
          <w:lang w:val="fr-BE"/>
        </w:rPr>
      </w:pPr>
    </w:p>
    <w:p w:rsidR="004A5847" w:rsidRDefault="004A5847" w:rsidP="004A5847">
      <w:pPr>
        <w:pStyle w:val="Paragraphedeliste"/>
        <w:ind w:left="0"/>
        <w:jc w:val="both"/>
        <w:rPr>
          <w:rFonts w:ascii="Verdana" w:hAnsi="Verdana" w:cs="Verdana"/>
          <w:sz w:val="20"/>
          <w:szCs w:val="20"/>
          <w:lang w:val="fr-BE"/>
        </w:rPr>
      </w:pPr>
      <w:r>
        <w:rPr>
          <w:rFonts w:ascii="Verdana" w:hAnsi="Verdana" w:cs="Verdana"/>
          <w:sz w:val="20"/>
          <w:szCs w:val="20"/>
          <w:lang w:val="fr-BE"/>
        </w:rPr>
        <w:t>Outre les documents obligatoirement requis qui feront l’objet d’une analyse spécifique, l</w:t>
      </w:r>
      <w:r>
        <w:rPr>
          <w:rFonts w:ascii="Verdana" w:hAnsi="Verdana" w:cs="Verdana"/>
          <w:sz w:val="20"/>
          <w:szCs w:val="20"/>
        </w:rPr>
        <w:t>es projets seront évalués sur divers critères :</w:t>
      </w:r>
    </w:p>
    <w:p w:rsidR="004A5847" w:rsidRPr="008328CA" w:rsidRDefault="004A5847" w:rsidP="004A5847">
      <w:pPr>
        <w:pStyle w:val="Paragraphedeliste"/>
        <w:ind w:left="0"/>
        <w:jc w:val="both"/>
        <w:rPr>
          <w:rFonts w:ascii="Verdana" w:hAnsi="Verdana" w:cs="Verdana"/>
          <w:sz w:val="20"/>
          <w:szCs w:val="20"/>
          <w:lang w:val="fr-BE"/>
        </w:rPr>
      </w:pPr>
    </w:p>
    <w:p w:rsidR="004A5847" w:rsidRDefault="004A5847" w:rsidP="00C55E4B">
      <w:pPr>
        <w:pStyle w:val="Paragraphedeliste"/>
        <w:numPr>
          <w:ilvl w:val="0"/>
          <w:numId w:val="18"/>
        </w:numPr>
        <w:jc w:val="both"/>
        <w:rPr>
          <w:rFonts w:ascii="Verdana" w:hAnsi="Verdana" w:cs="Verdana"/>
          <w:sz w:val="20"/>
          <w:szCs w:val="20"/>
          <w:lang w:val="fr-BE"/>
        </w:rPr>
      </w:pPr>
      <w:r>
        <w:rPr>
          <w:rFonts w:ascii="Verdana" w:hAnsi="Verdana" w:cs="Verdana"/>
          <w:sz w:val="20"/>
          <w:szCs w:val="20"/>
          <w:lang w:val="fr-BE"/>
        </w:rPr>
        <w:t>Expérience</w:t>
      </w:r>
      <w:r>
        <w:rPr>
          <w:rFonts w:ascii="Verdana" w:hAnsi="Verdana" w:cs="Verdana"/>
          <w:sz w:val="20"/>
          <w:szCs w:val="20"/>
        </w:rPr>
        <w:t xml:space="preserve"> du </w:t>
      </w:r>
      <w:r w:rsidR="00D149F2">
        <w:rPr>
          <w:rFonts w:ascii="Verdana" w:hAnsi="Verdana"/>
          <w:sz w:val="20"/>
          <w:szCs w:val="20"/>
        </w:rPr>
        <w:t xml:space="preserve">soumissionnaire </w:t>
      </w:r>
      <w:r>
        <w:rPr>
          <w:rFonts w:ascii="Verdana" w:hAnsi="Verdana" w:cs="Verdana"/>
          <w:sz w:val="20"/>
          <w:szCs w:val="20"/>
        </w:rPr>
        <w:t xml:space="preserve">ou du consortium : </w:t>
      </w:r>
      <w:r>
        <w:rPr>
          <w:rFonts w:ascii="Verdana" w:hAnsi="Verdana" w:cs="Verdana"/>
          <w:sz w:val="20"/>
          <w:szCs w:val="20"/>
          <w:lang w:val="fr-BE"/>
        </w:rPr>
        <w:t>25</w:t>
      </w:r>
      <w:r>
        <w:rPr>
          <w:rFonts w:ascii="Verdana" w:hAnsi="Verdana" w:cs="Verdana"/>
          <w:sz w:val="20"/>
          <w:szCs w:val="20"/>
        </w:rPr>
        <w:t xml:space="preserve"> points</w:t>
      </w:r>
      <w:r>
        <w:rPr>
          <w:rFonts w:ascii="Verdana" w:hAnsi="Verdana" w:cs="Verdana"/>
          <w:sz w:val="20"/>
          <w:szCs w:val="20"/>
          <w:lang w:val="fr-BE"/>
        </w:rPr>
        <w:t xml:space="preserve">. Cette expérience sera évaluée en fonction des références motivées et relatives au type de projet déposé </w:t>
      </w:r>
      <w:r>
        <w:rPr>
          <w:rFonts w:ascii="Verdana" w:hAnsi="Verdana" w:cs="Verdana"/>
          <w:sz w:val="20"/>
          <w:szCs w:val="20"/>
        </w:rPr>
        <w:t xml:space="preserve">du </w:t>
      </w:r>
      <w:r w:rsidR="00D149F2">
        <w:rPr>
          <w:rFonts w:ascii="Verdana" w:hAnsi="Verdana"/>
          <w:sz w:val="20"/>
          <w:szCs w:val="20"/>
        </w:rPr>
        <w:t xml:space="preserve">soumissionnaire </w:t>
      </w:r>
      <w:r>
        <w:rPr>
          <w:rFonts w:ascii="Verdana" w:hAnsi="Verdana" w:cs="Verdana"/>
          <w:sz w:val="20"/>
          <w:szCs w:val="20"/>
        </w:rPr>
        <w:t>ou du consortium</w:t>
      </w:r>
      <w:r>
        <w:rPr>
          <w:rFonts w:ascii="Verdana" w:hAnsi="Verdana" w:cs="Verdana"/>
          <w:sz w:val="20"/>
          <w:szCs w:val="20"/>
          <w:lang w:val="fr-BE"/>
        </w:rPr>
        <w:t xml:space="preserve"> et de son habilité à mettre en œuvre et de gérer les infrastructures proposées.</w:t>
      </w:r>
    </w:p>
    <w:p w:rsidR="00C55E4B" w:rsidRDefault="00C55E4B" w:rsidP="00C55E4B">
      <w:pPr>
        <w:pStyle w:val="Paragraphedeliste"/>
        <w:numPr>
          <w:ilvl w:val="0"/>
          <w:numId w:val="18"/>
        </w:numPr>
        <w:jc w:val="both"/>
        <w:rPr>
          <w:rFonts w:ascii="Verdana" w:hAnsi="Verdana" w:cs="Verdana"/>
          <w:sz w:val="20"/>
          <w:szCs w:val="20"/>
          <w:lang w:val="fr-BE"/>
        </w:rPr>
      </w:pPr>
      <w:r>
        <w:rPr>
          <w:rFonts w:ascii="Verdana" w:hAnsi="Verdana" w:cs="Verdana"/>
          <w:sz w:val="20"/>
          <w:szCs w:val="20"/>
          <w:lang w:val="fr-BE"/>
        </w:rPr>
        <w:lastRenderedPageBreak/>
        <w:t>Qualité globale et intégration du projet : 25 points. Cette analyse sera faite sur l’articulation globale du projet entre la production de l’hydrogène et les filières d’utilisation de celui-ci. Le niveau d’ambition global et le caractère spécifique des flottes de véhicules liés au projet seront analysés et évalués. Pour rappel, au moins 80% de l’hydrogène directement produit dans le projet sera affecté et utilisé par des flottes directement captives.</w:t>
      </w:r>
    </w:p>
    <w:p w:rsidR="00C55E4B" w:rsidRDefault="004A5847" w:rsidP="00C55E4B">
      <w:pPr>
        <w:pStyle w:val="Paragraphedeliste"/>
        <w:numPr>
          <w:ilvl w:val="0"/>
          <w:numId w:val="18"/>
        </w:numPr>
        <w:jc w:val="both"/>
        <w:rPr>
          <w:rFonts w:ascii="Verdana" w:hAnsi="Verdana" w:cs="Verdana"/>
          <w:sz w:val="20"/>
          <w:szCs w:val="20"/>
          <w:lang w:val="fr-BE"/>
        </w:rPr>
      </w:pPr>
      <w:r>
        <w:rPr>
          <w:rFonts w:ascii="Verdana" w:hAnsi="Verdana" w:cs="Verdana"/>
          <w:sz w:val="20"/>
          <w:szCs w:val="20"/>
          <w:lang w:val="fr-BE"/>
        </w:rPr>
        <w:t>Territoire</w:t>
      </w:r>
      <w:r>
        <w:rPr>
          <w:rFonts w:ascii="Verdana" w:hAnsi="Verdana" w:cs="Verdana"/>
          <w:sz w:val="20"/>
          <w:szCs w:val="20"/>
        </w:rPr>
        <w:t xml:space="preserve"> de référence : </w:t>
      </w:r>
      <w:r>
        <w:rPr>
          <w:rFonts w:ascii="Verdana" w:hAnsi="Verdana" w:cs="Verdana"/>
          <w:sz w:val="20"/>
          <w:szCs w:val="20"/>
          <w:lang w:val="fr-BE"/>
        </w:rPr>
        <w:t>25</w:t>
      </w:r>
      <w:r>
        <w:rPr>
          <w:rFonts w:ascii="Verdana" w:hAnsi="Verdana" w:cs="Verdana"/>
          <w:sz w:val="20"/>
          <w:szCs w:val="20"/>
        </w:rPr>
        <w:t xml:space="preserve"> points</w:t>
      </w:r>
      <w:r>
        <w:rPr>
          <w:rFonts w:ascii="Verdana" w:hAnsi="Verdana" w:cs="Verdana"/>
          <w:sz w:val="20"/>
          <w:szCs w:val="20"/>
          <w:lang w:val="fr-BE"/>
        </w:rPr>
        <w:t xml:space="preserve">. Afin de quantifier cet aspect, le </w:t>
      </w:r>
      <w:r w:rsidR="00D149F2">
        <w:rPr>
          <w:rFonts w:ascii="Verdana" w:hAnsi="Verdana"/>
          <w:sz w:val="20"/>
          <w:szCs w:val="20"/>
        </w:rPr>
        <w:t xml:space="preserve">soumissionnaire </w:t>
      </w:r>
      <w:r>
        <w:rPr>
          <w:rFonts w:ascii="Verdana" w:hAnsi="Verdana" w:cs="Verdana"/>
          <w:sz w:val="20"/>
          <w:szCs w:val="20"/>
          <w:lang w:val="fr-BE"/>
        </w:rPr>
        <w:t>ou le consortium définira précisément</w:t>
      </w:r>
      <w:r w:rsidR="00C55E4B">
        <w:rPr>
          <w:rFonts w:ascii="Verdana" w:hAnsi="Verdana" w:cs="Verdana"/>
          <w:sz w:val="20"/>
          <w:szCs w:val="20"/>
          <w:lang w:val="fr-BE"/>
        </w:rPr>
        <w:t>, dans son projet,</w:t>
      </w:r>
      <w:r>
        <w:rPr>
          <w:rFonts w:ascii="Verdana" w:hAnsi="Verdana" w:cs="Verdana"/>
          <w:sz w:val="20"/>
          <w:szCs w:val="20"/>
          <w:lang w:val="fr-BE"/>
        </w:rPr>
        <w:t xml:space="preserve"> le territoire sur lequel le déploiement sera effectué en précisant comment celui-ci a été défini. </w:t>
      </w:r>
    </w:p>
    <w:p w:rsidR="00C55E4B" w:rsidRDefault="004A5847" w:rsidP="00C55E4B">
      <w:pPr>
        <w:pStyle w:val="Paragraphedeliste"/>
        <w:numPr>
          <w:ilvl w:val="0"/>
          <w:numId w:val="18"/>
        </w:numPr>
        <w:ind w:left="709"/>
        <w:jc w:val="both"/>
        <w:rPr>
          <w:rFonts w:ascii="Verdana" w:hAnsi="Verdana" w:cs="Verdana"/>
          <w:sz w:val="20"/>
          <w:szCs w:val="20"/>
          <w:lang w:val="fr-BE"/>
        </w:rPr>
      </w:pPr>
      <w:r w:rsidRPr="00C55E4B">
        <w:rPr>
          <w:rFonts w:ascii="Verdana" w:hAnsi="Verdana" w:cs="Verdana"/>
          <w:sz w:val="20"/>
          <w:szCs w:val="20"/>
          <w:lang w:val="fr-BE"/>
        </w:rPr>
        <w:t>Qualité du matériel</w:t>
      </w:r>
      <w:r w:rsidRPr="00C55E4B">
        <w:rPr>
          <w:rFonts w:ascii="Verdana" w:hAnsi="Verdana" w:cs="Verdana"/>
          <w:sz w:val="20"/>
          <w:szCs w:val="20"/>
        </w:rPr>
        <w:t xml:space="preserve"> déployé : </w:t>
      </w:r>
      <w:r w:rsidRPr="00C55E4B">
        <w:rPr>
          <w:rFonts w:ascii="Verdana" w:hAnsi="Verdana" w:cs="Verdana"/>
          <w:sz w:val="20"/>
          <w:szCs w:val="20"/>
          <w:lang w:val="fr-BE"/>
        </w:rPr>
        <w:t>25</w:t>
      </w:r>
      <w:r w:rsidRPr="00C55E4B">
        <w:rPr>
          <w:rFonts w:ascii="Verdana" w:hAnsi="Verdana" w:cs="Verdana"/>
          <w:sz w:val="20"/>
          <w:szCs w:val="20"/>
        </w:rPr>
        <w:t xml:space="preserve"> points</w:t>
      </w:r>
      <w:r w:rsidRPr="00C55E4B">
        <w:rPr>
          <w:rFonts w:ascii="Verdana" w:hAnsi="Verdana" w:cs="Verdana"/>
          <w:sz w:val="20"/>
          <w:szCs w:val="20"/>
          <w:lang w:val="fr-BE"/>
        </w:rPr>
        <w:t xml:space="preserve">. </w:t>
      </w:r>
    </w:p>
    <w:p w:rsidR="004A5847" w:rsidRPr="00063390" w:rsidRDefault="00C55E4B" w:rsidP="00C55E4B">
      <w:pPr>
        <w:pStyle w:val="Paragraphedeliste"/>
        <w:numPr>
          <w:ilvl w:val="0"/>
          <w:numId w:val="18"/>
        </w:numPr>
        <w:ind w:left="709"/>
        <w:jc w:val="both"/>
        <w:rPr>
          <w:rFonts w:ascii="Verdana" w:hAnsi="Verdana" w:cs="Verdana"/>
          <w:sz w:val="20"/>
          <w:szCs w:val="20"/>
          <w:lang w:val="fr-BE"/>
        </w:rPr>
      </w:pPr>
      <w:r>
        <w:rPr>
          <w:rFonts w:ascii="Verdana" w:hAnsi="Verdana" w:cs="Verdana"/>
          <w:sz w:val="20"/>
          <w:szCs w:val="20"/>
        </w:rPr>
        <w:t>Durabilité de l’hydrogène produit :</w:t>
      </w:r>
      <w:r w:rsidR="00063390">
        <w:rPr>
          <w:rFonts w:ascii="Verdana" w:hAnsi="Verdana" w:cs="Verdana"/>
          <w:sz w:val="20"/>
          <w:szCs w:val="20"/>
        </w:rPr>
        <w:t xml:space="preserve"> 50</w:t>
      </w:r>
      <w:r>
        <w:rPr>
          <w:rFonts w:ascii="Verdana" w:hAnsi="Verdana" w:cs="Verdana"/>
          <w:sz w:val="20"/>
          <w:szCs w:val="20"/>
        </w:rPr>
        <w:t xml:space="preserve"> points. Ce point vise à la façon dont l’hydrogène est directement produit dans le projet et l’apport complémentaire d’hydrogène est éventuellement envisagé. </w:t>
      </w:r>
    </w:p>
    <w:p w:rsidR="00063390" w:rsidRPr="00C55E4B" w:rsidRDefault="00063390" w:rsidP="00C55E4B">
      <w:pPr>
        <w:pStyle w:val="Paragraphedeliste"/>
        <w:numPr>
          <w:ilvl w:val="0"/>
          <w:numId w:val="18"/>
        </w:numPr>
        <w:ind w:left="709"/>
        <w:jc w:val="both"/>
        <w:rPr>
          <w:rFonts w:ascii="Verdana" w:hAnsi="Verdana" w:cs="Verdana"/>
          <w:sz w:val="20"/>
          <w:szCs w:val="20"/>
          <w:lang w:val="fr-BE"/>
        </w:rPr>
      </w:pPr>
      <w:r>
        <w:rPr>
          <w:rFonts w:ascii="Verdana" w:hAnsi="Verdana" w:cs="Verdana"/>
          <w:sz w:val="20"/>
          <w:szCs w:val="20"/>
        </w:rPr>
        <w:t>Modèle économique : 50 points. Ce point est évalué sur base du calcul réalisé dans le cadre de la demande de compensation prévue dans le présent appel.</w:t>
      </w:r>
    </w:p>
    <w:p w:rsidR="004A5847" w:rsidRDefault="004A5847" w:rsidP="004A5847">
      <w:pPr>
        <w:pStyle w:val="Paragraphedeliste"/>
        <w:ind w:left="0"/>
        <w:jc w:val="both"/>
        <w:rPr>
          <w:rFonts w:ascii="Verdana" w:hAnsi="Verdana" w:cs="Verdana"/>
          <w:sz w:val="20"/>
          <w:szCs w:val="20"/>
          <w:lang w:val="fr-BE"/>
        </w:rPr>
      </w:pPr>
    </w:p>
    <w:p w:rsidR="004A5847" w:rsidRPr="007159AB" w:rsidRDefault="00063390" w:rsidP="004A5847">
      <w:pPr>
        <w:pStyle w:val="Paragraphedeliste"/>
        <w:ind w:left="0"/>
        <w:jc w:val="both"/>
        <w:rPr>
          <w:rFonts w:ascii="Verdana" w:hAnsi="Verdana" w:cs="Verdana"/>
          <w:sz w:val="20"/>
          <w:szCs w:val="20"/>
          <w:lang w:val="fr-BE"/>
        </w:rPr>
      </w:pPr>
      <w:r>
        <w:rPr>
          <w:rFonts w:ascii="Verdana" w:hAnsi="Verdana" w:cs="Verdana"/>
          <w:sz w:val="20"/>
          <w:szCs w:val="20"/>
          <w:lang w:val="fr-BE"/>
        </w:rPr>
        <w:t xml:space="preserve">Le score minium </w:t>
      </w:r>
      <w:r w:rsidR="002A2EF7">
        <w:rPr>
          <w:rFonts w:ascii="Verdana" w:hAnsi="Verdana" w:cs="Verdana"/>
          <w:sz w:val="20"/>
          <w:szCs w:val="20"/>
          <w:lang w:val="fr-BE"/>
        </w:rPr>
        <w:t xml:space="preserve">global pour une sélection </w:t>
      </w:r>
      <w:r>
        <w:rPr>
          <w:rFonts w:ascii="Verdana" w:hAnsi="Verdana" w:cs="Verdana"/>
          <w:sz w:val="20"/>
          <w:szCs w:val="20"/>
          <w:lang w:val="fr-BE"/>
        </w:rPr>
        <w:t>est de 120/2</w:t>
      </w:r>
      <w:r w:rsidR="004A5847">
        <w:rPr>
          <w:rFonts w:ascii="Verdana" w:hAnsi="Verdana" w:cs="Verdana"/>
          <w:sz w:val="20"/>
          <w:szCs w:val="20"/>
          <w:lang w:val="fr-BE"/>
        </w:rPr>
        <w:t>00</w:t>
      </w:r>
      <w:r w:rsidR="002A2EF7">
        <w:rPr>
          <w:rFonts w:ascii="Verdana" w:hAnsi="Verdana" w:cs="Verdana"/>
          <w:sz w:val="20"/>
          <w:szCs w:val="20"/>
          <w:lang w:val="fr-BE"/>
        </w:rPr>
        <w:t>. Pou</w:t>
      </w:r>
      <w:r>
        <w:rPr>
          <w:rFonts w:ascii="Verdana" w:hAnsi="Verdana" w:cs="Verdana"/>
          <w:sz w:val="20"/>
          <w:szCs w:val="20"/>
          <w:lang w:val="fr-BE"/>
        </w:rPr>
        <w:t>r</w:t>
      </w:r>
      <w:r w:rsidR="002A2EF7">
        <w:rPr>
          <w:rFonts w:ascii="Verdana" w:hAnsi="Verdana" w:cs="Verdana"/>
          <w:sz w:val="20"/>
          <w:szCs w:val="20"/>
          <w:lang w:val="fr-BE"/>
        </w:rPr>
        <w:t xml:space="preserve"> les</w:t>
      </w:r>
      <w:r>
        <w:rPr>
          <w:rFonts w:ascii="Verdana" w:hAnsi="Verdana" w:cs="Verdana"/>
          <w:sz w:val="20"/>
          <w:szCs w:val="20"/>
          <w:lang w:val="fr-BE"/>
        </w:rPr>
        <w:t xml:space="preserve"> critère</w:t>
      </w:r>
      <w:r w:rsidR="002A2EF7">
        <w:rPr>
          <w:rFonts w:ascii="Verdana" w:hAnsi="Verdana" w:cs="Verdana"/>
          <w:sz w:val="20"/>
          <w:szCs w:val="20"/>
          <w:lang w:val="fr-BE"/>
        </w:rPr>
        <w:t>s 1 à 4, la note minimale sera de 12,5/25. Pour les critères 5 et 6, la note minimale sera de 30/50</w:t>
      </w:r>
      <w:r>
        <w:rPr>
          <w:rFonts w:ascii="Verdana" w:hAnsi="Verdana" w:cs="Verdana"/>
          <w:sz w:val="20"/>
          <w:szCs w:val="20"/>
          <w:lang w:val="fr-BE"/>
        </w:rPr>
        <w:t>.</w:t>
      </w:r>
    </w:p>
    <w:p w:rsidR="004A5847" w:rsidRDefault="004A5847" w:rsidP="004A5847">
      <w:pPr>
        <w:pStyle w:val="Paragraphedeliste"/>
        <w:ind w:left="0"/>
        <w:jc w:val="both"/>
        <w:rPr>
          <w:rFonts w:ascii="Verdana" w:hAnsi="Verdana" w:cs="Verdana"/>
          <w:sz w:val="20"/>
          <w:szCs w:val="20"/>
        </w:rPr>
      </w:pPr>
    </w:p>
    <w:p w:rsidR="004A5847" w:rsidRDefault="004A5847" w:rsidP="004A5847">
      <w:pPr>
        <w:pStyle w:val="Paragraphedeliste"/>
        <w:ind w:left="0"/>
        <w:jc w:val="both"/>
        <w:rPr>
          <w:rFonts w:ascii="Verdana" w:hAnsi="Verdana" w:cs="Verdana"/>
          <w:sz w:val="20"/>
          <w:szCs w:val="20"/>
        </w:rPr>
      </w:pPr>
      <w:r>
        <w:rPr>
          <w:rFonts w:ascii="Verdana" w:hAnsi="Verdana" w:cs="Verdana"/>
          <w:sz w:val="20"/>
          <w:szCs w:val="20"/>
        </w:rPr>
        <w:t>Les projets sélectionnés feront l'objet d'un arrêté de subventionnement précisant en détail les modalités contractuelles et budgétaires liées au projet.</w:t>
      </w:r>
    </w:p>
    <w:p w:rsidR="00B11B6C" w:rsidRDefault="00B11B6C" w:rsidP="004A5847">
      <w:pPr>
        <w:rPr>
          <w:rFonts w:ascii="Verdana" w:hAnsi="Verdana" w:cs="Verdana"/>
          <w:sz w:val="20"/>
          <w:szCs w:val="20"/>
        </w:rPr>
      </w:pPr>
    </w:p>
    <w:p w:rsidR="00866B32" w:rsidRPr="00C10EF9" w:rsidRDefault="00866B32" w:rsidP="00866B32">
      <w:pPr>
        <w:pStyle w:val="Paragraphedeliste"/>
        <w:ind w:left="0"/>
        <w:jc w:val="both"/>
        <w:rPr>
          <w:rFonts w:ascii="Verdana" w:hAnsi="Verdana" w:cs="Verdana"/>
          <w:b/>
          <w:sz w:val="20"/>
          <w:szCs w:val="20"/>
          <w:u w:val="single"/>
        </w:rPr>
      </w:pPr>
      <w:r w:rsidRPr="00C10EF9">
        <w:rPr>
          <w:rFonts w:ascii="Verdana" w:hAnsi="Verdana" w:cs="Verdana"/>
          <w:b/>
          <w:sz w:val="20"/>
          <w:szCs w:val="20"/>
          <w:u w:val="single"/>
        </w:rPr>
        <w:t>Contact</w:t>
      </w:r>
    </w:p>
    <w:p w:rsidR="00866B32" w:rsidRDefault="00866B32" w:rsidP="00866B32">
      <w:pPr>
        <w:pStyle w:val="Paragraphedeliste"/>
        <w:ind w:left="0"/>
        <w:jc w:val="both"/>
        <w:rPr>
          <w:rFonts w:ascii="Verdana" w:hAnsi="Verdana" w:cs="Verdana"/>
          <w:sz w:val="20"/>
          <w:szCs w:val="20"/>
        </w:rPr>
      </w:pPr>
    </w:p>
    <w:p w:rsidR="00866B32" w:rsidRDefault="00866B32" w:rsidP="00866B32">
      <w:pPr>
        <w:pStyle w:val="Paragraphedeliste"/>
        <w:ind w:left="0"/>
        <w:jc w:val="both"/>
        <w:rPr>
          <w:rFonts w:ascii="Verdana" w:hAnsi="Verdana" w:cs="Verdana"/>
          <w:sz w:val="20"/>
          <w:szCs w:val="20"/>
        </w:rPr>
      </w:pPr>
      <w:r>
        <w:rPr>
          <w:rFonts w:ascii="Verdana" w:hAnsi="Verdana" w:cs="Verdana"/>
          <w:sz w:val="20"/>
          <w:szCs w:val="20"/>
        </w:rPr>
        <w:t>Tout contact peut être obtenu auprès de :</w:t>
      </w:r>
    </w:p>
    <w:p w:rsidR="00866B32" w:rsidRDefault="00866B32" w:rsidP="00866B32">
      <w:pPr>
        <w:pStyle w:val="Paragraphedeliste"/>
        <w:ind w:left="0"/>
        <w:jc w:val="both"/>
        <w:rPr>
          <w:rFonts w:ascii="Verdana" w:hAnsi="Verdana" w:cs="Verdana"/>
          <w:sz w:val="20"/>
          <w:szCs w:val="20"/>
        </w:rPr>
      </w:pPr>
    </w:p>
    <w:p w:rsidR="00866B32" w:rsidRDefault="00866B32" w:rsidP="00866B32">
      <w:pPr>
        <w:pStyle w:val="Paragraphedeliste"/>
        <w:ind w:left="0"/>
        <w:jc w:val="both"/>
        <w:rPr>
          <w:rFonts w:ascii="Verdana" w:hAnsi="Verdana" w:cs="Verdana"/>
          <w:sz w:val="20"/>
          <w:szCs w:val="20"/>
        </w:rPr>
      </w:pPr>
      <w:r>
        <w:rPr>
          <w:rFonts w:ascii="Verdana" w:hAnsi="Verdana" w:cs="Verdana"/>
          <w:sz w:val="20"/>
          <w:szCs w:val="20"/>
        </w:rPr>
        <w:t>Monsieur Pascal LEHANCE, Attaché</w:t>
      </w:r>
    </w:p>
    <w:p w:rsidR="00866B32" w:rsidRDefault="00866B32" w:rsidP="00866B32">
      <w:pPr>
        <w:pStyle w:val="Paragraphedeliste"/>
        <w:ind w:left="0"/>
        <w:jc w:val="both"/>
        <w:rPr>
          <w:rFonts w:ascii="Verdana" w:hAnsi="Verdana" w:cs="Verdana"/>
          <w:sz w:val="20"/>
          <w:szCs w:val="20"/>
        </w:rPr>
      </w:pPr>
      <w:r>
        <w:rPr>
          <w:rFonts w:ascii="Verdana" w:hAnsi="Verdana" w:cs="Verdana"/>
          <w:sz w:val="20"/>
          <w:szCs w:val="20"/>
        </w:rPr>
        <w:t>DGO4 – Département de l’Energie et du Bâtiment durable</w:t>
      </w:r>
    </w:p>
    <w:p w:rsidR="00866B32" w:rsidRDefault="00866B32" w:rsidP="00866B32">
      <w:pPr>
        <w:pStyle w:val="Paragraphedeliste"/>
        <w:ind w:left="0"/>
        <w:jc w:val="both"/>
        <w:rPr>
          <w:rFonts w:ascii="Verdana" w:hAnsi="Verdana" w:cs="Verdana"/>
          <w:sz w:val="20"/>
          <w:szCs w:val="20"/>
        </w:rPr>
      </w:pPr>
      <w:r>
        <w:rPr>
          <w:rFonts w:ascii="Verdana" w:hAnsi="Verdana" w:cs="Verdana"/>
          <w:sz w:val="20"/>
          <w:szCs w:val="20"/>
        </w:rPr>
        <w:t>Direction de la Promotion de l’Energie durable</w:t>
      </w:r>
    </w:p>
    <w:p w:rsidR="00866B32" w:rsidRDefault="00866B32" w:rsidP="00866B32">
      <w:pPr>
        <w:pStyle w:val="Paragraphedeliste"/>
        <w:ind w:left="0"/>
        <w:jc w:val="both"/>
        <w:rPr>
          <w:rFonts w:ascii="Verdana" w:hAnsi="Verdana" w:cs="Verdana"/>
          <w:sz w:val="20"/>
          <w:szCs w:val="20"/>
        </w:rPr>
      </w:pPr>
      <w:r>
        <w:rPr>
          <w:rFonts w:ascii="Verdana" w:hAnsi="Verdana" w:cs="Verdana"/>
          <w:sz w:val="20"/>
          <w:szCs w:val="20"/>
        </w:rPr>
        <w:t>Rue des Brigades d’Irlande 1,</w:t>
      </w:r>
    </w:p>
    <w:p w:rsidR="00866B32" w:rsidRDefault="00866B32" w:rsidP="00866B32">
      <w:pPr>
        <w:pStyle w:val="Paragraphedeliste"/>
        <w:ind w:left="0"/>
        <w:jc w:val="both"/>
        <w:rPr>
          <w:rFonts w:ascii="Verdana" w:hAnsi="Verdana" w:cs="Verdana"/>
          <w:sz w:val="20"/>
          <w:szCs w:val="20"/>
        </w:rPr>
      </w:pPr>
      <w:r>
        <w:rPr>
          <w:rFonts w:ascii="Verdana" w:hAnsi="Verdana" w:cs="Verdana"/>
          <w:sz w:val="20"/>
          <w:szCs w:val="20"/>
        </w:rPr>
        <w:t>5100</w:t>
      </w:r>
      <w:r>
        <w:rPr>
          <w:rFonts w:ascii="Verdana" w:hAnsi="Verdana" w:cs="Verdana"/>
          <w:sz w:val="20"/>
          <w:szCs w:val="20"/>
        </w:rPr>
        <w:tab/>
        <w:t>JAMBES</w:t>
      </w:r>
    </w:p>
    <w:p w:rsidR="00866B32" w:rsidRDefault="00866B32" w:rsidP="00866B32">
      <w:pPr>
        <w:pStyle w:val="Paragraphedeliste"/>
        <w:ind w:left="0"/>
        <w:jc w:val="both"/>
        <w:rPr>
          <w:rFonts w:ascii="Verdana" w:hAnsi="Verdana" w:cs="Verdana"/>
          <w:sz w:val="20"/>
          <w:szCs w:val="20"/>
        </w:rPr>
      </w:pPr>
      <w:r>
        <w:rPr>
          <w:rFonts w:ascii="Verdana" w:hAnsi="Verdana" w:cs="Verdana"/>
          <w:sz w:val="20"/>
          <w:szCs w:val="20"/>
        </w:rPr>
        <w:t>Tél. : 081/48.63.32</w:t>
      </w:r>
    </w:p>
    <w:p w:rsidR="00866B32" w:rsidRDefault="00866B32" w:rsidP="00866B32">
      <w:pPr>
        <w:pStyle w:val="Paragraphedeliste"/>
        <w:ind w:left="0"/>
        <w:jc w:val="both"/>
        <w:rPr>
          <w:rFonts w:ascii="Verdana" w:hAnsi="Verdana" w:cs="Verdana"/>
          <w:sz w:val="20"/>
          <w:szCs w:val="20"/>
        </w:rPr>
      </w:pPr>
      <w:r>
        <w:rPr>
          <w:rFonts w:ascii="Verdana" w:hAnsi="Verdana" w:cs="Verdana"/>
          <w:sz w:val="20"/>
          <w:szCs w:val="20"/>
        </w:rPr>
        <w:t xml:space="preserve">Courriel : </w:t>
      </w:r>
      <w:hyperlink r:id="rId10" w:history="1">
        <w:r w:rsidRPr="00422E52">
          <w:rPr>
            <w:rStyle w:val="Lienhypertexte"/>
            <w:rFonts w:ascii="Verdana" w:hAnsi="Verdana" w:cs="Verdana"/>
            <w:sz w:val="20"/>
            <w:szCs w:val="20"/>
            <w:lang w:val="fr-BE" w:eastAsia="hi-IN" w:bidi="hi-IN"/>
          </w:rPr>
          <w:t>pascal.lehance@spw.wallonie.be</w:t>
        </w:r>
      </w:hyperlink>
      <w:r>
        <w:rPr>
          <w:rFonts w:ascii="Verdana" w:hAnsi="Verdana" w:cs="Verdana"/>
          <w:sz w:val="20"/>
          <w:szCs w:val="20"/>
        </w:rPr>
        <w:t xml:space="preserve"> </w:t>
      </w:r>
    </w:p>
    <w:p w:rsidR="004A5847" w:rsidRDefault="004A5847" w:rsidP="004A5847"/>
    <w:sectPr w:rsidR="004A5847" w:rsidSect="00B11B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E4D448D"/>
    <w:multiLevelType w:val="hybridMultilevel"/>
    <w:tmpl w:val="57B4E9A6"/>
    <w:lvl w:ilvl="0" w:tplc="95461E5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32E5908"/>
    <w:multiLevelType w:val="hybridMultilevel"/>
    <w:tmpl w:val="65B1CF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5DE1609"/>
    <w:multiLevelType w:val="hybridMultilevel"/>
    <w:tmpl w:val="FD9E454E"/>
    <w:lvl w:ilvl="0" w:tplc="39B8D25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8FA72A5"/>
    <w:multiLevelType w:val="hybridMultilevel"/>
    <w:tmpl w:val="66AE88C4"/>
    <w:lvl w:ilvl="0" w:tplc="4CF02AF6">
      <w:start w:val="2"/>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EBE16E0"/>
    <w:multiLevelType w:val="hybridMultilevel"/>
    <w:tmpl w:val="61FEA826"/>
    <w:lvl w:ilvl="0" w:tplc="2286FA3C">
      <w:start w:val="3"/>
      <w:numFmt w:val="bullet"/>
      <w:lvlText w:val="-"/>
      <w:lvlJc w:val="left"/>
      <w:pPr>
        <w:ind w:left="1776" w:hanging="360"/>
      </w:pPr>
      <w:rPr>
        <w:rFonts w:ascii="Verdana" w:eastAsia="Times New Roman" w:hAnsi="Verdana"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21F9054F"/>
    <w:multiLevelType w:val="hybridMultilevel"/>
    <w:tmpl w:val="3DFC3938"/>
    <w:lvl w:ilvl="0" w:tplc="587CE386">
      <w:start w:val="1"/>
      <w:numFmt w:val="decimal"/>
      <w:lvlText w:val="(%1)"/>
      <w:lvlJc w:val="left"/>
      <w:pPr>
        <w:ind w:left="720" w:hanging="360"/>
      </w:pPr>
      <w:rPr>
        <w:rFonts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2997209"/>
    <w:multiLevelType w:val="hybridMultilevel"/>
    <w:tmpl w:val="BE04298C"/>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81A1B5E"/>
    <w:multiLevelType w:val="hybridMultilevel"/>
    <w:tmpl w:val="3BA814C6"/>
    <w:lvl w:ilvl="0" w:tplc="A6E2C7C4">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6B867DE"/>
    <w:multiLevelType w:val="hybridMultilevel"/>
    <w:tmpl w:val="13A4D942"/>
    <w:lvl w:ilvl="0" w:tplc="F920F8AA">
      <w:start w:val="4"/>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D2A26F3"/>
    <w:multiLevelType w:val="hybridMultilevel"/>
    <w:tmpl w:val="E9C61818"/>
    <w:lvl w:ilvl="0" w:tplc="FCB43E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ABD012F"/>
    <w:multiLevelType w:val="hybridMultilevel"/>
    <w:tmpl w:val="FF420BA4"/>
    <w:lvl w:ilvl="0" w:tplc="3244AA2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0883490"/>
    <w:multiLevelType w:val="hybridMultilevel"/>
    <w:tmpl w:val="D6367CB6"/>
    <w:lvl w:ilvl="0" w:tplc="D4484E28">
      <w:start w:val="4"/>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4047741"/>
    <w:multiLevelType w:val="hybridMultilevel"/>
    <w:tmpl w:val="EEF81E54"/>
    <w:lvl w:ilvl="0" w:tplc="8E06165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40806DF"/>
    <w:multiLevelType w:val="hybridMultilevel"/>
    <w:tmpl w:val="B3AC43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52E7BAA"/>
    <w:multiLevelType w:val="hybridMultilevel"/>
    <w:tmpl w:val="38767348"/>
    <w:lvl w:ilvl="0" w:tplc="1BE6D182">
      <w:start w:val="1"/>
      <w:numFmt w:val="bullet"/>
      <w:pStyle w:val="Titre"/>
      <w:lvlText w:val=""/>
      <w:lvlJc w:val="left"/>
      <w:pPr>
        <w:ind w:left="360" w:hanging="360"/>
      </w:pPr>
      <w:rPr>
        <w:rFonts w:ascii="Symbol" w:hAnsi="Symbol" w:hint="default"/>
        <w:color w:val="44546A"/>
        <w:lang w:val="fr-BE"/>
      </w:rPr>
    </w:lvl>
    <w:lvl w:ilvl="1" w:tplc="080C0001">
      <w:start w:val="1"/>
      <w:numFmt w:val="bullet"/>
      <w:lvlText w:val=""/>
      <w:lvlJc w:val="left"/>
      <w:pPr>
        <w:ind w:left="1440" w:hanging="360"/>
      </w:pPr>
      <w:rPr>
        <w:rFonts w:ascii="Symbol" w:hAnsi="Symbol" w:hint="default"/>
      </w:rPr>
    </w:lvl>
    <w:lvl w:ilvl="2" w:tplc="A4D86B0E">
      <w:start w:val="1"/>
      <w:numFmt w:val="lowerRoman"/>
      <w:lvlText w:val="%3."/>
      <w:lvlJc w:val="right"/>
      <w:pPr>
        <w:ind w:left="2160" w:hanging="180"/>
      </w:pPr>
    </w:lvl>
    <w:lvl w:ilvl="3" w:tplc="4EE03CBA">
      <w:start w:val="1"/>
      <w:numFmt w:val="decimal"/>
      <w:lvlText w:val="%4."/>
      <w:lvlJc w:val="left"/>
      <w:pPr>
        <w:ind w:left="2880" w:hanging="360"/>
      </w:pPr>
    </w:lvl>
    <w:lvl w:ilvl="4" w:tplc="18F02970">
      <w:start w:val="1"/>
      <w:numFmt w:val="lowerLetter"/>
      <w:lvlText w:val="%5."/>
      <w:lvlJc w:val="left"/>
      <w:pPr>
        <w:ind w:left="3600" w:hanging="360"/>
      </w:pPr>
    </w:lvl>
    <w:lvl w:ilvl="5" w:tplc="0B38A28C">
      <w:start w:val="1"/>
      <w:numFmt w:val="lowerRoman"/>
      <w:lvlText w:val="%6."/>
      <w:lvlJc w:val="right"/>
      <w:pPr>
        <w:ind w:left="4320" w:hanging="180"/>
      </w:pPr>
    </w:lvl>
    <w:lvl w:ilvl="6" w:tplc="65D881B2">
      <w:start w:val="1"/>
      <w:numFmt w:val="decimal"/>
      <w:lvlText w:val="%7."/>
      <w:lvlJc w:val="left"/>
      <w:pPr>
        <w:ind w:left="5040" w:hanging="360"/>
      </w:pPr>
    </w:lvl>
    <w:lvl w:ilvl="7" w:tplc="29C4B168">
      <w:start w:val="1"/>
      <w:numFmt w:val="lowerLetter"/>
      <w:lvlText w:val="%8."/>
      <w:lvlJc w:val="left"/>
      <w:pPr>
        <w:ind w:left="5760" w:hanging="360"/>
      </w:pPr>
    </w:lvl>
    <w:lvl w:ilvl="8" w:tplc="87A42EEC">
      <w:start w:val="1"/>
      <w:numFmt w:val="lowerRoman"/>
      <w:lvlText w:val="%9."/>
      <w:lvlJc w:val="right"/>
      <w:pPr>
        <w:ind w:left="6480" w:hanging="180"/>
      </w:pPr>
    </w:lvl>
  </w:abstractNum>
  <w:abstractNum w:abstractNumId="16">
    <w:nsid w:val="55BA0C95"/>
    <w:multiLevelType w:val="hybridMultilevel"/>
    <w:tmpl w:val="84A63AFA"/>
    <w:lvl w:ilvl="0" w:tplc="8E42FA8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CC531BB"/>
    <w:multiLevelType w:val="hybridMultilevel"/>
    <w:tmpl w:val="84A63AFA"/>
    <w:lvl w:ilvl="0" w:tplc="8E42FA8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4322752"/>
    <w:multiLevelType w:val="hybridMultilevel"/>
    <w:tmpl w:val="47A62686"/>
    <w:lvl w:ilvl="0" w:tplc="B82026E4">
      <w:start w:val="7"/>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FE90539"/>
    <w:multiLevelType w:val="hybridMultilevel"/>
    <w:tmpl w:val="635C4D86"/>
    <w:lvl w:ilvl="0" w:tplc="64AA6EB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7C5B09A9"/>
    <w:multiLevelType w:val="hybridMultilevel"/>
    <w:tmpl w:val="FD9E454E"/>
    <w:lvl w:ilvl="0" w:tplc="39B8D25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7CAE0124"/>
    <w:multiLevelType w:val="multilevel"/>
    <w:tmpl w:val="839C67D2"/>
    <w:lvl w:ilvl="0">
      <w:start w:val="1"/>
      <w:numFmt w:val="decimal"/>
      <w:lvlText w:val="%1."/>
      <w:lvlJc w:val="left"/>
      <w:pPr>
        <w:tabs>
          <w:tab w:val="num" w:pos="720"/>
        </w:tabs>
        <w:ind w:left="720" w:hanging="360"/>
      </w:pPr>
      <w:rPr>
        <w:lang w:val="fr-BE"/>
      </w:rPr>
    </w:lvl>
    <w:lvl w:ilvl="1">
      <w:numFmt w:val="bullet"/>
      <w:lvlText w:val="-"/>
      <w:lvlJc w:val="left"/>
      <w:pPr>
        <w:ind w:left="1440" w:hanging="360"/>
      </w:pPr>
      <w:rPr>
        <w:rFonts w:ascii="Verdana" w:eastAsia="Times New Roman" w:hAnsi="Verdan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0"/>
  </w:num>
  <w:num w:numId="3">
    <w:abstractNumId w:val="1"/>
  </w:num>
  <w:num w:numId="4">
    <w:abstractNumId w:val="6"/>
  </w:num>
  <w:num w:numId="5">
    <w:abstractNumId w:val="11"/>
  </w:num>
  <w:num w:numId="6">
    <w:abstractNumId w:val="14"/>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2"/>
  </w:num>
  <w:num w:numId="11">
    <w:abstractNumId w:val="9"/>
  </w:num>
  <w:num w:numId="12">
    <w:abstractNumId w:val="3"/>
  </w:num>
  <w:num w:numId="13">
    <w:abstractNumId w:val="4"/>
  </w:num>
  <w:num w:numId="14">
    <w:abstractNumId w:val="17"/>
  </w:num>
  <w:num w:numId="15">
    <w:abstractNumId w:val="18"/>
  </w:num>
  <w:num w:numId="16">
    <w:abstractNumId w:val="16"/>
  </w:num>
  <w:num w:numId="17">
    <w:abstractNumId w:val="13"/>
  </w:num>
  <w:num w:numId="18">
    <w:abstractNumId w:val="10"/>
  </w:num>
  <w:num w:numId="19">
    <w:abstractNumId w:val="5"/>
  </w:num>
  <w:num w:numId="20">
    <w:abstractNumId w:val="7"/>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638AB"/>
    <w:rsid w:val="000101E1"/>
    <w:rsid w:val="0001029D"/>
    <w:rsid w:val="00027367"/>
    <w:rsid w:val="00035CEA"/>
    <w:rsid w:val="00052997"/>
    <w:rsid w:val="000548DE"/>
    <w:rsid w:val="00063390"/>
    <w:rsid w:val="000A6D38"/>
    <w:rsid w:val="000B35F2"/>
    <w:rsid w:val="000D252A"/>
    <w:rsid w:val="00116A53"/>
    <w:rsid w:val="00141778"/>
    <w:rsid w:val="0015297D"/>
    <w:rsid w:val="00152BEA"/>
    <w:rsid w:val="00176998"/>
    <w:rsid w:val="00177697"/>
    <w:rsid w:val="001A0F4B"/>
    <w:rsid w:val="001C6DA7"/>
    <w:rsid w:val="001D4AB7"/>
    <w:rsid w:val="00210CCC"/>
    <w:rsid w:val="002135A4"/>
    <w:rsid w:val="00216615"/>
    <w:rsid w:val="00236D4C"/>
    <w:rsid w:val="002638AB"/>
    <w:rsid w:val="0028166B"/>
    <w:rsid w:val="00291C29"/>
    <w:rsid w:val="002A2EF7"/>
    <w:rsid w:val="002E285A"/>
    <w:rsid w:val="00351951"/>
    <w:rsid w:val="0041300D"/>
    <w:rsid w:val="004968C4"/>
    <w:rsid w:val="004A3DEC"/>
    <w:rsid w:val="004A5847"/>
    <w:rsid w:val="004F47DA"/>
    <w:rsid w:val="00510999"/>
    <w:rsid w:val="00520EA1"/>
    <w:rsid w:val="00560886"/>
    <w:rsid w:val="00595C1C"/>
    <w:rsid w:val="00611A50"/>
    <w:rsid w:val="0061238F"/>
    <w:rsid w:val="006247CC"/>
    <w:rsid w:val="00644AB6"/>
    <w:rsid w:val="0067793D"/>
    <w:rsid w:val="006D70D6"/>
    <w:rsid w:val="006E0C9B"/>
    <w:rsid w:val="00703C53"/>
    <w:rsid w:val="00730F42"/>
    <w:rsid w:val="0074663F"/>
    <w:rsid w:val="007A43E3"/>
    <w:rsid w:val="007A4BE0"/>
    <w:rsid w:val="007D7463"/>
    <w:rsid w:val="007F0463"/>
    <w:rsid w:val="00800EBF"/>
    <w:rsid w:val="00866B32"/>
    <w:rsid w:val="0087494F"/>
    <w:rsid w:val="008A2E3A"/>
    <w:rsid w:val="008C4FBE"/>
    <w:rsid w:val="008C6165"/>
    <w:rsid w:val="008F3630"/>
    <w:rsid w:val="00922635"/>
    <w:rsid w:val="00927714"/>
    <w:rsid w:val="009406E9"/>
    <w:rsid w:val="0096751E"/>
    <w:rsid w:val="009677CE"/>
    <w:rsid w:val="009B19A6"/>
    <w:rsid w:val="009F6BD9"/>
    <w:rsid w:val="00A460A8"/>
    <w:rsid w:val="00A86508"/>
    <w:rsid w:val="00AA64B1"/>
    <w:rsid w:val="00AB0D4B"/>
    <w:rsid w:val="00AB49EC"/>
    <w:rsid w:val="00AF3538"/>
    <w:rsid w:val="00B11B6C"/>
    <w:rsid w:val="00B5331F"/>
    <w:rsid w:val="00B578A8"/>
    <w:rsid w:val="00B77EC2"/>
    <w:rsid w:val="00B91C20"/>
    <w:rsid w:val="00B940B4"/>
    <w:rsid w:val="00BB1568"/>
    <w:rsid w:val="00BE1CD4"/>
    <w:rsid w:val="00C20BC5"/>
    <w:rsid w:val="00C35947"/>
    <w:rsid w:val="00C43330"/>
    <w:rsid w:val="00C55E4B"/>
    <w:rsid w:val="00C91851"/>
    <w:rsid w:val="00CF33CA"/>
    <w:rsid w:val="00D149F2"/>
    <w:rsid w:val="00D51AAA"/>
    <w:rsid w:val="00D96C34"/>
    <w:rsid w:val="00D97695"/>
    <w:rsid w:val="00DC05A8"/>
    <w:rsid w:val="00DE3795"/>
    <w:rsid w:val="00DE3C66"/>
    <w:rsid w:val="00E04270"/>
    <w:rsid w:val="00E379E8"/>
    <w:rsid w:val="00EA1E5B"/>
    <w:rsid w:val="00EB0F72"/>
    <w:rsid w:val="00EB3E02"/>
    <w:rsid w:val="00F34C2B"/>
    <w:rsid w:val="00F47CF3"/>
    <w:rsid w:val="00FA3B26"/>
    <w:rsid w:val="00FC57C2"/>
    <w:rsid w:val="00FD10E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Arial"/>
        <w:sz w:val="21"/>
        <w:szCs w:val="24"/>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47"/>
    <w:pPr>
      <w:spacing w:after="0" w:line="240" w:lineRule="auto"/>
    </w:pPr>
    <w:rPr>
      <w:rFonts w:ascii="Times New Roman" w:eastAsia="Times New Roman" w:hAnsi="Times New Roman" w:cs="Times New Roman"/>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ettre d'introduction"/>
    <w:basedOn w:val="Normal"/>
    <w:link w:val="ParagraphedelisteCar"/>
    <w:uiPriority w:val="34"/>
    <w:qFormat/>
    <w:rsid w:val="004A5847"/>
    <w:pPr>
      <w:ind w:left="708"/>
    </w:pPr>
  </w:style>
  <w:style w:type="character" w:customStyle="1" w:styleId="ParagraphedelisteCar">
    <w:name w:val="Paragraphe de liste Car"/>
    <w:aliases w:val="Lettre d'introduction Car"/>
    <w:link w:val="Paragraphedeliste"/>
    <w:uiPriority w:val="34"/>
    <w:rsid w:val="004A5847"/>
    <w:rPr>
      <w:rFonts w:ascii="Times New Roman" w:eastAsia="Times New Roman" w:hAnsi="Times New Roman" w:cs="Times New Roman"/>
      <w:sz w:val="24"/>
      <w:lang w:val="fr-FR" w:eastAsia="fr-FR"/>
    </w:rPr>
  </w:style>
  <w:style w:type="character" w:styleId="Lienhypertexte">
    <w:name w:val="Hyperlink"/>
    <w:rsid w:val="00866B32"/>
    <w:rPr>
      <w:color w:val="000080"/>
      <w:u w:val="single"/>
    </w:rPr>
  </w:style>
  <w:style w:type="character" w:customStyle="1" w:styleId="TitreCar">
    <w:name w:val="Titre Car"/>
    <w:aliases w:val="Bullets 1 Car"/>
    <w:basedOn w:val="Policepardfaut"/>
    <w:link w:val="Titre"/>
    <w:uiPriority w:val="99"/>
    <w:locked/>
    <w:rsid w:val="00DE3795"/>
    <w:rPr>
      <w:rFonts w:ascii="Georgia" w:hAnsi="Georgia"/>
      <w:spacing w:val="5"/>
    </w:rPr>
  </w:style>
  <w:style w:type="paragraph" w:styleId="Titre">
    <w:name w:val="Title"/>
    <w:aliases w:val="Bullets 1"/>
    <w:basedOn w:val="Normal"/>
    <w:link w:val="TitreCar"/>
    <w:uiPriority w:val="99"/>
    <w:qFormat/>
    <w:rsid w:val="00DE3795"/>
    <w:pPr>
      <w:numPr>
        <w:numId w:val="7"/>
      </w:numPr>
      <w:spacing w:before="120" w:after="120" w:line="260" w:lineRule="exact"/>
      <w:jc w:val="both"/>
    </w:pPr>
    <w:rPr>
      <w:rFonts w:ascii="Georgia" w:eastAsiaTheme="minorHAnsi" w:hAnsi="Georgia" w:cs="Arial"/>
      <w:spacing w:val="5"/>
      <w:sz w:val="21"/>
      <w:lang w:val="fr-BE" w:eastAsia="en-US"/>
    </w:rPr>
  </w:style>
  <w:style w:type="character" w:customStyle="1" w:styleId="TitreCar1">
    <w:name w:val="Titre Car1"/>
    <w:basedOn w:val="Policepardfaut"/>
    <w:uiPriority w:val="10"/>
    <w:rsid w:val="00DE3795"/>
    <w:rPr>
      <w:rFonts w:asciiTheme="majorHAnsi" w:eastAsiaTheme="majorEastAsia" w:hAnsiTheme="majorHAnsi" w:cstheme="majorBidi"/>
      <w:color w:val="17365D" w:themeColor="text2" w:themeShade="BF"/>
      <w:spacing w:val="5"/>
      <w:kern w:val="28"/>
      <w:sz w:val="52"/>
      <w:szCs w:val="52"/>
      <w:lang w:val="fr-FR" w:eastAsia="fr-FR"/>
    </w:rPr>
  </w:style>
  <w:style w:type="paragraph" w:customStyle="1" w:styleId="Default">
    <w:name w:val="Default"/>
    <w:rsid w:val="00DE3795"/>
    <w:pPr>
      <w:autoSpaceDE w:val="0"/>
      <w:autoSpaceDN w:val="0"/>
      <w:adjustRightInd w:val="0"/>
      <w:spacing w:after="0" w:line="240" w:lineRule="auto"/>
    </w:pPr>
    <w:rPr>
      <w:rFonts w:cs="Century Gothic"/>
      <w:color w:val="000000"/>
      <w:sz w:val="24"/>
    </w:rPr>
  </w:style>
  <w:style w:type="paragraph" w:styleId="Textedebulles">
    <w:name w:val="Balloon Text"/>
    <w:basedOn w:val="Normal"/>
    <w:link w:val="TextedebullesCar"/>
    <w:uiPriority w:val="99"/>
    <w:semiHidden/>
    <w:unhideWhenUsed/>
    <w:rsid w:val="00DC05A8"/>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05A8"/>
    <w:rPr>
      <w:rFonts w:ascii="Segoe UI" w:eastAsia="Times New Roman" w:hAnsi="Segoe UI" w:cs="Segoe UI"/>
      <w:sz w:val="18"/>
      <w:szCs w:val="18"/>
      <w:lang w:val="fr-FR" w:eastAsia="fr-FR"/>
    </w:rPr>
  </w:style>
  <w:style w:type="character" w:styleId="Marquedecommentaire">
    <w:name w:val="annotation reference"/>
    <w:basedOn w:val="Policepardfaut"/>
    <w:uiPriority w:val="99"/>
    <w:semiHidden/>
    <w:unhideWhenUsed/>
    <w:rsid w:val="004968C4"/>
    <w:rPr>
      <w:sz w:val="16"/>
      <w:szCs w:val="16"/>
    </w:rPr>
  </w:style>
  <w:style w:type="paragraph" w:styleId="Commentaire">
    <w:name w:val="annotation text"/>
    <w:basedOn w:val="Normal"/>
    <w:link w:val="CommentaireCar"/>
    <w:uiPriority w:val="99"/>
    <w:semiHidden/>
    <w:unhideWhenUsed/>
    <w:rsid w:val="004968C4"/>
    <w:rPr>
      <w:sz w:val="20"/>
      <w:szCs w:val="20"/>
    </w:rPr>
  </w:style>
  <w:style w:type="character" w:customStyle="1" w:styleId="CommentaireCar">
    <w:name w:val="Commentaire Car"/>
    <w:basedOn w:val="Policepardfaut"/>
    <w:link w:val="Commentaire"/>
    <w:uiPriority w:val="99"/>
    <w:semiHidden/>
    <w:rsid w:val="004968C4"/>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4968C4"/>
    <w:rPr>
      <w:b/>
      <w:bCs/>
    </w:rPr>
  </w:style>
  <w:style w:type="character" w:customStyle="1" w:styleId="ObjetducommentaireCar">
    <w:name w:val="Objet du commentaire Car"/>
    <w:basedOn w:val="CommentaireCar"/>
    <w:link w:val="Objetducommentaire"/>
    <w:uiPriority w:val="99"/>
    <w:semiHidden/>
    <w:rsid w:val="004968C4"/>
    <w:rPr>
      <w:rFonts w:ascii="Times New Roman" w:eastAsia="Times New Roman" w:hAnsi="Times New Roman" w:cs="Times New Roman"/>
      <w:b/>
      <w:bCs/>
      <w:sz w:val="20"/>
      <w:szCs w:val="20"/>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h.europa.eu/news/hydrogen-roadmap-europe-sustainable-pathway-european-energy-transition" TargetMode="External"/><Relationship Id="rId3" Type="http://schemas.openxmlformats.org/officeDocument/2006/relationships/styles" Target="styles.xml"/><Relationship Id="rId7" Type="http://schemas.openxmlformats.org/officeDocument/2006/relationships/hyperlink" Target="https://www.irena.org/publications/2018/Sep/Hydrogen-from-renewable-pow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store.iea.org/technology-roadmap-hydrogen-and-fuel-cell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scal.lehance@spw.wallonie.be" TargetMode="External"/><Relationship Id="rId4" Type="http://schemas.openxmlformats.org/officeDocument/2006/relationships/settings" Target="settings.xml"/><Relationship Id="rId9" Type="http://schemas.openxmlformats.org/officeDocument/2006/relationships/hyperlink" Target="http://intranet.spw.wallonie.be/home/organisation-et-structures/guide-des-institutions/guide-du-spw/spw-territoire-logement-patrimoine-energi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0FBA1-5CD2-496D-90D9-D0F643F2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3255</Words>
  <Characters>17906</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128086</dc:creator>
  <cp:lastModifiedBy>128086</cp:lastModifiedBy>
  <cp:revision>2</cp:revision>
  <dcterms:created xsi:type="dcterms:W3CDTF">2019-05-10T07:32:00Z</dcterms:created>
  <dcterms:modified xsi:type="dcterms:W3CDTF">2019-05-10T07:32:00Z</dcterms:modified>
</cp:coreProperties>
</file>